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2E" w:rsidRPr="00FC0271" w:rsidRDefault="00BF4C2E" w:rsidP="00BF4C2E">
      <w:pPr>
        <w:rPr>
          <w:rFonts w:ascii="Arial" w:eastAsia="Arial" w:hAnsi="Arial" w:cs="Arial"/>
          <w:b/>
          <w:color w:val="000000"/>
          <w:sz w:val="36"/>
          <w:szCs w:val="20"/>
        </w:rPr>
      </w:pPr>
      <w:bookmarkStart w:id="0" w:name="_GoBack"/>
      <w:bookmarkEnd w:id="0"/>
    </w:p>
    <w:p w:rsidR="00BF4C2E" w:rsidRPr="00050595" w:rsidRDefault="00BF4C2E" w:rsidP="00BF4C2E">
      <w:pPr>
        <w:ind w:left="90" w:hanging="9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050595">
        <w:rPr>
          <w:rFonts w:ascii="Arial" w:eastAsia="Arial" w:hAnsi="Arial" w:cs="Arial"/>
          <w:b/>
          <w:color w:val="000000"/>
          <w:sz w:val="28"/>
          <w:szCs w:val="28"/>
        </w:rPr>
        <w:t>Universal Design for Learning Guidelines</w:t>
      </w:r>
      <w:r w:rsidRPr="00050595"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footnoteReference w:id="1"/>
      </w:r>
    </w:p>
    <w:tbl>
      <w:tblPr>
        <w:tblW w:w="13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723"/>
        <w:gridCol w:w="4392"/>
      </w:tblGrid>
      <w:tr w:rsidR="00BF4C2E" w:rsidRPr="00FC0271" w:rsidTr="00BD360B">
        <w:trPr>
          <w:trHeight w:val="1205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4C2E" w:rsidRPr="00FC0271" w:rsidRDefault="00BF4C2E" w:rsidP="00BD360B">
            <w:pPr>
              <w:spacing w:after="0"/>
              <w:ind w:left="396"/>
              <w:jc w:val="center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Cs w:val="20"/>
              </w:rPr>
              <w:t>Provide Multiple Means of</w:t>
            </w:r>
          </w:p>
          <w:p w:rsidR="00BF4C2E" w:rsidRPr="00FC0271" w:rsidRDefault="00BF4C2E" w:rsidP="00BD360B">
            <w:pPr>
              <w:spacing w:after="0"/>
              <w:ind w:left="396"/>
              <w:jc w:val="center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b/>
                <w:color w:val="000000"/>
                <w:sz w:val="28"/>
                <w:szCs w:val="20"/>
              </w:rPr>
              <w:t>Engagement</w:t>
            </w:r>
          </w:p>
          <w:p w:rsidR="00BF4C2E" w:rsidRPr="00FC0271" w:rsidRDefault="00BF4C2E" w:rsidP="00BD360B">
            <w:pPr>
              <w:spacing w:after="0"/>
              <w:ind w:left="396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 w:rsidRPr="00FC0271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Purposeful, motivated learners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F4C2E" w:rsidRPr="00FC0271" w:rsidRDefault="00BF4C2E" w:rsidP="00BD360B">
            <w:pPr>
              <w:spacing w:after="0"/>
              <w:jc w:val="center"/>
              <w:rPr>
                <w:rFonts w:ascii="Calibri" w:eastAsia="Calibri" w:hAnsi="Calibri" w:cs="Calibri"/>
                <w:color w:val="FFFFFF"/>
                <w:szCs w:val="20"/>
              </w:rPr>
            </w:pPr>
            <w:r w:rsidRPr="00FC0271">
              <w:rPr>
                <w:rFonts w:ascii="Arial" w:eastAsia="Arial" w:hAnsi="Arial" w:cs="Arial"/>
                <w:color w:val="FFFFFF"/>
                <w:szCs w:val="20"/>
              </w:rPr>
              <w:t>Provide Multiple Means of</w:t>
            </w:r>
          </w:p>
          <w:p w:rsidR="00BF4C2E" w:rsidRPr="00FC0271" w:rsidRDefault="00BF4C2E" w:rsidP="00BD360B">
            <w:pPr>
              <w:spacing w:after="0"/>
              <w:ind w:left="288"/>
              <w:jc w:val="center"/>
              <w:rPr>
                <w:rFonts w:ascii="Calibri" w:eastAsia="Calibri" w:hAnsi="Calibri" w:cs="Calibri"/>
                <w:color w:val="FFFFFF"/>
                <w:szCs w:val="20"/>
              </w:rPr>
            </w:pPr>
            <w:r w:rsidRPr="00FC0271">
              <w:rPr>
                <w:rFonts w:ascii="Arial" w:eastAsia="Arial" w:hAnsi="Arial" w:cs="Arial"/>
                <w:b/>
                <w:color w:val="FFFFFF"/>
                <w:sz w:val="28"/>
                <w:szCs w:val="20"/>
              </w:rPr>
              <w:t>Representation</w:t>
            </w:r>
          </w:p>
          <w:p w:rsidR="00BF4C2E" w:rsidRPr="00FC0271" w:rsidRDefault="00BF4C2E" w:rsidP="00BD360B">
            <w:pPr>
              <w:spacing w:after="0"/>
              <w:ind w:left="288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 w:rsidRPr="00FC0271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Resourceful, knowledgeable learners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F4C2E" w:rsidRPr="00FC0271" w:rsidRDefault="00BF4C2E" w:rsidP="00BD360B">
            <w:pPr>
              <w:spacing w:after="0"/>
              <w:ind w:left="36"/>
              <w:jc w:val="center"/>
              <w:rPr>
                <w:rFonts w:ascii="Calibri" w:eastAsia="Calibri" w:hAnsi="Calibri" w:cs="Calibri"/>
                <w:color w:val="FFFFFF"/>
                <w:szCs w:val="20"/>
              </w:rPr>
            </w:pPr>
            <w:r w:rsidRPr="00FC0271">
              <w:rPr>
                <w:rFonts w:ascii="Arial" w:eastAsia="Arial" w:hAnsi="Arial" w:cs="Arial"/>
                <w:color w:val="FFFFFF"/>
                <w:szCs w:val="20"/>
              </w:rPr>
              <w:t>Provide Multiple Means of</w:t>
            </w:r>
          </w:p>
          <w:p w:rsidR="00BF4C2E" w:rsidRPr="00FC0271" w:rsidRDefault="00BF4C2E" w:rsidP="00BD360B">
            <w:pPr>
              <w:spacing w:after="0"/>
              <w:ind w:left="36"/>
              <w:jc w:val="center"/>
              <w:rPr>
                <w:rFonts w:ascii="Calibri" w:eastAsia="Calibri" w:hAnsi="Calibri" w:cs="Calibri"/>
                <w:color w:val="FFFFFF"/>
                <w:szCs w:val="20"/>
              </w:rPr>
            </w:pPr>
            <w:r w:rsidRPr="00FC0271">
              <w:rPr>
                <w:rFonts w:ascii="Arial" w:eastAsia="Arial" w:hAnsi="Arial" w:cs="Arial"/>
                <w:b/>
                <w:color w:val="FFFFFF"/>
                <w:sz w:val="28"/>
                <w:szCs w:val="20"/>
              </w:rPr>
              <w:t>Action and Expression</w:t>
            </w:r>
          </w:p>
          <w:p w:rsidR="00BF4C2E" w:rsidRPr="00FC0271" w:rsidRDefault="00BF4C2E" w:rsidP="00BD360B">
            <w:pPr>
              <w:spacing w:after="0"/>
              <w:ind w:left="36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 w:rsidRPr="00FC0271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Strategic, goal-directed learners</w:t>
            </w:r>
          </w:p>
        </w:tc>
      </w:tr>
      <w:tr w:rsidR="00BF4C2E" w:rsidRPr="00FC0271" w:rsidTr="00BD360B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C2E" w:rsidRPr="00FC0271" w:rsidRDefault="00BF4C2E" w:rsidP="00BD36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4C2E" w:rsidRPr="00FC0271" w:rsidRDefault="00BF4C2E" w:rsidP="00BD360B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Provide options for self-regulation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C2E" w:rsidRPr="00FC0271" w:rsidRDefault="00BF4C2E" w:rsidP="00BD36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4C2E" w:rsidRPr="00FC0271" w:rsidRDefault="00BF4C2E" w:rsidP="00BD360B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options for comprehension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C2E" w:rsidRPr="00FC0271" w:rsidRDefault="00BF4C2E" w:rsidP="00BD36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4C2E" w:rsidRPr="00FC0271" w:rsidRDefault="00BF4C2E" w:rsidP="00BD360B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options for executive functions</w:t>
            </w:r>
          </w:p>
        </w:tc>
      </w:tr>
      <w:tr w:rsidR="00BF4C2E" w:rsidRPr="00FC0271" w:rsidTr="00BD360B">
        <w:tc>
          <w:tcPr>
            <w:tcW w:w="4392" w:type="dxa"/>
            <w:tcBorders>
              <w:top w:val="nil"/>
              <w:bottom w:val="single" w:sz="4" w:space="0" w:color="auto"/>
            </w:tcBorders>
          </w:tcPr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Promote expectations and beliefs that optimize motivation</w:t>
            </w:r>
          </w:p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Facilitate personal coping skills and strategies</w:t>
            </w:r>
          </w:p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Develop self-assessment and reflection </w:t>
            </w:r>
          </w:p>
        </w:tc>
        <w:tc>
          <w:tcPr>
            <w:tcW w:w="4723" w:type="dxa"/>
            <w:tcBorders>
              <w:top w:val="nil"/>
              <w:bottom w:val="single" w:sz="4" w:space="0" w:color="auto"/>
            </w:tcBorders>
          </w:tcPr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Activate or supply background knowledge</w:t>
            </w:r>
          </w:p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Highlight patterns, critical features, big ideas, and relationships</w:t>
            </w:r>
          </w:p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Guide information processing, visualization, and manipulation</w:t>
            </w:r>
          </w:p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Maximize transfer and generalization</w:t>
            </w:r>
          </w:p>
        </w:tc>
        <w:tc>
          <w:tcPr>
            <w:tcW w:w="4392" w:type="dxa"/>
            <w:tcBorders>
              <w:top w:val="nil"/>
              <w:bottom w:val="single" w:sz="4" w:space="0" w:color="auto"/>
            </w:tcBorders>
          </w:tcPr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Guide appropriate goal-setting</w:t>
            </w:r>
          </w:p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 planning and strategy development</w:t>
            </w:r>
          </w:p>
          <w:p w:rsidR="00BF4C2E" w:rsidRPr="00FC0271" w:rsidRDefault="00BF4C2E" w:rsidP="00BF4C2E">
            <w:pPr>
              <w:numPr>
                <w:ilvl w:val="0"/>
                <w:numId w:val="3"/>
              </w:numPr>
              <w:spacing w:after="0" w:line="240" w:lineRule="auto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Enhance capacity for monitoring progress</w:t>
            </w:r>
          </w:p>
        </w:tc>
      </w:tr>
      <w:tr w:rsidR="00BF4C2E" w:rsidRPr="00FC0271" w:rsidTr="00BD360B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4C2E" w:rsidRPr="00FC0271" w:rsidRDefault="00BF4C2E" w:rsidP="00BD36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4C2E" w:rsidRPr="00FC0271" w:rsidRDefault="00BF4C2E" w:rsidP="00BD360B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options for sustaining effort and persistence</w:t>
            </w:r>
          </w:p>
        </w:tc>
        <w:tc>
          <w:tcPr>
            <w:tcW w:w="4723" w:type="dxa"/>
            <w:tcBorders>
              <w:top w:val="single" w:sz="4" w:space="0" w:color="auto"/>
              <w:bottom w:val="nil"/>
            </w:tcBorders>
          </w:tcPr>
          <w:p w:rsidR="00BF4C2E" w:rsidRPr="00FC0271" w:rsidRDefault="00BF4C2E" w:rsidP="00BD360B">
            <w:pPr>
              <w:spacing w:after="0" w:line="240" w:lineRule="auto"/>
              <w:ind w:right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4C2E" w:rsidRPr="00FC0271" w:rsidRDefault="00BF4C2E" w:rsidP="00BD360B">
            <w:pPr>
              <w:spacing w:after="0" w:line="240" w:lineRule="auto"/>
              <w:ind w:right="108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options for language, mathematical expressions, and symbols </w:t>
            </w:r>
          </w:p>
        </w:tc>
        <w:tc>
          <w:tcPr>
            <w:tcW w:w="4392" w:type="dxa"/>
            <w:tcBorders>
              <w:top w:val="single" w:sz="4" w:space="0" w:color="auto"/>
              <w:bottom w:val="nil"/>
            </w:tcBorders>
          </w:tcPr>
          <w:p w:rsidR="00BF4C2E" w:rsidRPr="00FC0271" w:rsidRDefault="00BF4C2E" w:rsidP="00BD36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4C2E" w:rsidRPr="00FC0271" w:rsidRDefault="00BF4C2E" w:rsidP="00BD360B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options for expression and communication </w:t>
            </w:r>
          </w:p>
        </w:tc>
      </w:tr>
      <w:tr w:rsidR="00BF4C2E" w:rsidRPr="00FC0271" w:rsidTr="00BD360B">
        <w:tc>
          <w:tcPr>
            <w:tcW w:w="4392" w:type="dxa"/>
            <w:tcBorders>
              <w:top w:val="nil"/>
              <w:bottom w:val="single" w:sz="4" w:space="0" w:color="000000"/>
            </w:tcBorders>
          </w:tcPr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Heighten salience of goals and objectives</w:t>
            </w:r>
          </w:p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Vary demands and resources to optimize challenge</w:t>
            </w:r>
          </w:p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Foster collaboration and community</w:t>
            </w:r>
          </w:p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Increase mastery-oriented feedback</w:t>
            </w:r>
          </w:p>
        </w:tc>
        <w:tc>
          <w:tcPr>
            <w:tcW w:w="4723" w:type="dxa"/>
            <w:tcBorders>
              <w:top w:val="nil"/>
              <w:bottom w:val="single" w:sz="4" w:space="0" w:color="000000"/>
            </w:tcBorders>
          </w:tcPr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Clarify vocabulary and symbols</w:t>
            </w:r>
          </w:p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Clarify syntax and structure</w:t>
            </w:r>
          </w:p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 decoding text, mathematical notation, and symbols</w:t>
            </w:r>
          </w:p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Promote understanding across languages</w:t>
            </w:r>
          </w:p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Illustrate through multiple media  </w:t>
            </w:r>
          </w:p>
        </w:tc>
        <w:tc>
          <w:tcPr>
            <w:tcW w:w="4392" w:type="dxa"/>
            <w:tcBorders>
              <w:top w:val="nil"/>
              <w:bottom w:val="single" w:sz="4" w:space="0" w:color="000000"/>
            </w:tcBorders>
          </w:tcPr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Use multiple media for communication</w:t>
            </w:r>
          </w:p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Use multiple tools for construction and composition</w:t>
            </w:r>
          </w:p>
          <w:p w:rsidR="00BF4C2E" w:rsidRPr="00FC0271" w:rsidRDefault="00BF4C2E" w:rsidP="00BF4C2E">
            <w:pPr>
              <w:numPr>
                <w:ilvl w:val="0"/>
                <w:numId w:val="2"/>
              </w:numPr>
              <w:spacing w:after="0" w:line="240" w:lineRule="auto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Build influences with graduated levels of support for practice and performance </w:t>
            </w:r>
          </w:p>
          <w:p w:rsidR="00BF4C2E" w:rsidRPr="00FC0271" w:rsidRDefault="00BF4C2E" w:rsidP="00BD360B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BF4C2E" w:rsidRPr="00FC0271" w:rsidTr="00BD360B">
        <w:tc>
          <w:tcPr>
            <w:tcW w:w="4392" w:type="dxa"/>
            <w:tcBorders>
              <w:bottom w:val="nil"/>
            </w:tcBorders>
          </w:tcPr>
          <w:p w:rsidR="00BF4C2E" w:rsidRPr="00FC0271" w:rsidRDefault="00BF4C2E" w:rsidP="00BD36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4C2E" w:rsidRPr="00FC0271" w:rsidRDefault="00BF4C2E" w:rsidP="00BD360B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options for recruiting interest</w:t>
            </w:r>
          </w:p>
        </w:tc>
        <w:tc>
          <w:tcPr>
            <w:tcW w:w="4723" w:type="dxa"/>
            <w:tcBorders>
              <w:bottom w:val="nil"/>
            </w:tcBorders>
          </w:tcPr>
          <w:p w:rsidR="00BF4C2E" w:rsidRPr="00FC0271" w:rsidRDefault="00BF4C2E" w:rsidP="00BD360B">
            <w:pPr>
              <w:spacing w:after="0" w:line="240" w:lineRule="auto"/>
              <w:ind w:right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4C2E" w:rsidRPr="00FC0271" w:rsidRDefault="00BF4C2E" w:rsidP="00BD360B">
            <w:pPr>
              <w:spacing w:after="0" w:line="240" w:lineRule="auto"/>
              <w:ind w:right="108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options for perception </w:t>
            </w:r>
          </w:p>
        </w:tc>
        <w:tc>
          <w:tcPr>
            <w:tcW w:w="4392" w:type="dxa"/>
            <w:tcBorders>
              <w:bottom w:val="nil"/>
            </w:tcBorders>
          </w:tcPr>
          <w:p w:rsidR="00BF4C2E" w:rsidRPr="00FC0271" w:rsidRDefault="00BF4C2E" w:rsidP="00BD36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4C2E" w:rsidRPr="00FC0271" w:rsidRDefault="00BF4C2E" w:rsidP="00BD360B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options for physical action </w:t>
            </w:r>
          </w:p>
        </w:tc>
      </w:tr>
      <w:tr w:rsidR="00BF4C2E" w:rsidRPr="00FC0271" w:rsidTr="00BD360B">
        <w:tc>
          <w:tcPr>
            <w:tcW w:w="4392" w:type="dxa"/>
            <w:tcBorders>
              <w:top w:val="nil"/>
            </w:tcBorders>
          </w:tcPr>
          <w:p w:rsidR="00BF4C2E" w:rsidRPr="00FC0271" w:rsidRDefault="00BF4C2E" w:rsidP="00BF4C2E">
            <w:pPr>
              <w:numPr>
                <w:ilvl w:val="0"/>
                <w:numId w:val="1"/>
              </w:numPr>
              <w:spacing w:after="0" w:line="240" w:lineRule="auto"/>
              <w:ind w:left="360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Optimize individual choice and autonomy</w:t>
            </w:r>
          </w:p>
          <w:p w:rsidR="00BF4C2E" w:rsidRPr="00FC0271" w:rsidRDefault="00BF4C2E" w:rsidP="00BF4C2E">
            <w:pPr>
              <w:numPr>
                <w:ilvl w:val="0"/>
                <w:numId w:val="1"/>
              </w:numPr>
              <w:spacing w:after="0" w:line="240" w:lineRule="auto"/>
              <w:ind w:left="360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Optimize relevance, value, and authenticity</w:t>
            </w:r>
          </w:p>
          <w:p w:rsidR="00BF4C2E" w:rsidRPr="00FC0271" w:rsidRDefault="00BF4C2E" w:rsidP="00BF4C2E">
            <w:pPr>
              <w:numPr>
                <w:ilvl w:val="0"/>
                <w:numId w:val="1"/>
              </w:numPr>
              <w:spacing w:after="0" w:line="240" w:lineRule="auto"/>
              <w:ind w:left="360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Minimize threats and distractions</w:t>
            </w:r>
          </w:p>
        </w:tc>
        <w:tc>
          <w:tcPr>
            <w:tcW w:w="4723" w:type="dxa"/>
            <w:tcBorders>
              <w:top w:val="nil"/>
            </w:tcBorders>
          </w:tcPr>
          <w:p w:rsidR="00BF4C2E" w:rsidRPr="00FC0271" w:rsidRDefault="00BF4C2E" w:rsidP="00BF4C2E">
            <w:pPr>
              <w:numPr>
                <w:ilvl w:val="0"/>
                <w:numId w:val="1"/>
              </w:numPr>
              <w:spacing w:after="0" w:line="240" w:lineRule="auto"/>
              <w:ind w:left="288" w:right="108" w:hanging="287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Offer ways of customizing the display of information</w:t>
            </w:r>
          </w:p>
          <w:p w:rsidR="00BF4C2E" w:rsidRPr="00FC0271" w:rsidRDefault="00BF4C2E" w:rsidP="00BF4C2E">
            <w:pPr>
              <w:numPr>
                <w:ilvl w:val="0"/>
                <w:numId w:val="1"/>
              </w:numPr>
              <w:spacing w:after="0" w:line="240" w:lineRule="auto"/>
              <w:ind w:left="288" w:right="108" w:hanging="287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Offer alternatives for auditory information</w:t>
            </w:r>
          </w:p>
          <w:p w:rsidR="00BF4C2E" w:rsidRPr="00FC0271" w:rsidRDefault="00BF4C2E" w:rsidP="00BF4C2E">
            <w:pPr>
              <w:numPr>
                <w:ilvl w:val="0"/>
                <w:numId w:val="1"/>
              </w:numPr>
              <w:spacing w:after="0" w:line="240" w:lineRule="auto"/>
              <w:ind w:left="288" w:right="108" w:hanging="287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Offer alternatives for visual information </w:t>
            </w:r>
          </w:p>
          <w:p w:rsidR="00BF4C2E" w:rsidRPr="00FC0271" w:rsidRDefault="00BF4C2E" w:rsidP="00BD360B">
            <w:pPr>
              <w:spacing w:after="0" w:line="240" w:lineRule="auto"/>
              <w:ind w:right="108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BF4C2E" w:rsidRPr="00FC0271" w:rsidRDefault="00BF4C2E" w:rsidP="00BF4C2E">
            <w:pPr>
              <w:numPr>
                <w:ilvl w:val="0"/>
                <w:numId w:val="1"/>
              </w:numPr>
              <w:spacing w:after="0" w:line="240" w:lineRule="auto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Vary the methods for response and navigation</w:t>
            </w:r>
          </w:p>
          <w:p w:rsidR="00BF4C2E" w:rsidRPr="00FC0271" w:rsidRDefault="00BF4C2E" w:rsidP="00BF4C2E">
            <w:pPr>
              <w:numPr>
                <w:ilvl w:val="0"/>
                <w:numId w:val="1"/>
              </w:numPr>
              <w:spacing w:after="0" w:line="240" w:lineRule="auto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0271">
              <w:rPr>
                <w:rFonts w:ascii="Arial" w:eastAsia="Arial" w:hAnsi="Arial" w:cs="Arial"/>
                <w:color w:val="000000"/>
                <w:sz w:val="20"/>
                <w:szCs w:val="20"/>
              </w:rPr>
              <w:t>Optimize access to tools and assistive technologies.</w:t>
            </w:r>
          </w:p>
        </w:tc>
      </w:tr>
    </w:tbl>
    <w:p w:rsidR="00DC245A" w:rsidRPr="00BF4C2E" w:rsidRDefault="00BF4C2E">
      <w:pPr>
        <w:rPr>
          <w:rFonts w:ascii="Calibri" w:eastAsia="Calibri" w:hAnsi="Calibri" w:cs="Calibri"/>
          <w:color w:val="000000"/>
          <w:szCs w:val="20"/>
        </w:rPr>
      </w:pPr>
      <w:r w:rsidRPr="00FC0271">
        <w:rPr>
          <w:rFonts w:ascii="Calibri" w:eastAsia="Calibri" w:hAnsi="Calibri" w:cs="Calibri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0" allowOverlap="0" wp14:anchorId="3935B9C4" wp14:editId="5D246CD8">
            <wp:simplePos x="0" y="0"/>
            <wp:positionH relativeFrom="margin">
              <wp:posOffset>5483860</wp:posOffset>
            </wp:positionH>
            <wp:positionV relativeFrom="paragraph">
              <wp:posOffset>565785</wp:posOffset>
            </wp:positionV>
            <wp:extent cx="971550" cy="345440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5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C245A" w:rsidRPr="00BF4C2E" w:rsidSect="00BF4C2E">
      <w:pgSz w:w="15840" w:h="12240" w:orient="landscape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2E" w:rsidRDefault="00BF4C2E" w:rsidP="00BF4C2E">
      <w:pPr>
        <w:spacing w:after="0" w:line="240" w:lineRule="auto"/>
      </w:pPr>
      <w:r>
        <w:separator/>
      </w:r>
    </w:p>
  </w:endnote>
  <w:endnote w:type="continuationSeparator" w:id="0">
    <w:p w:rsidR="00BF4C2E" w:rsidRDefault="00BF4C2E" w:rsidP="00BF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2E" w:rsidRDefault="00BF4C2E" w:rsidP="00BF4C2E">
      <w:pPr>
        <w:spacing w:after="0" w:line="240" w:lineRule="auto"/>
      </w:pPr>
      <w:r>
        <w:separator/>
      </w:r>
    </w:p>
  </w:footnote>
  <w:footnote w:type="continuationSeparator" w:id="0">
    <w:p w:rsidR="00BF4C2E" w:rsidRDefault="00BF4C2E" w:rsidP="00BF4C2E">
      <w:pPr>
        <w:spacing w:after="0" w:line="240" w:lineRule="auto"/>
      </w:pPr>
      <w:r>
        <w:continuationSeparator/>
      </w:r>
    </w:p>
  </w:footnote>
  <w:footnote w:id="1">
    <w:p w:rsidR="00BF4C2E" w:rsidRDefault="00BF4C2E" w:rsidP="00BF4C2E">
      <w:pPr>
        <w:pStyle w:val="Normal1"/>
        <w:spacing w:after="0"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CAST (2012). </w:t>
      </w:r>
      <w:proofErr w:type="gramStart"/>
      <w:r>
        <w:rPr>
          <w:rFonts w:ascii="Arial" w:eastAsia="Arial" w:hAnsi="Arial" w:cs="Arial"/>
          <w:i/>
          <w:sz w:val="18"/>
        </w:rPr>
        <w:t>Universal Design for Learning Guidelines version 2.0.</w:t>
      </w:r>
      <w:proofErr w:type="gramEnd"/>
      <w:r>
        <w:rPr>
          <w:rFonts w:ascii="Arial" w:eastAsia="Arial" w:hAnsi="Arial" w:cs="Arial"/>
          <w:sz w:val="18"/>
        </w:rPr>
        <w:t xml:space="preserve"> Wakefield, MA: Author.</w:t>
      </w:r>
    </w:p>
    <w:p w:rsidR="00BF4C2E" w:rsidRDefault="00BF4C2E" w:rsidP="00BF4C2E">
      <w:pPr>
        <w:pStyle w:val="Normal1"/>
        <w:spacing w:after="0" w:line="240" w:lineRule="auto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</w:rPr>
        <w:t xml:space="preserve">  Source URL:  </w:t>
      </w:r>
      <w:hyperlink r:id="rId1">
        <w:r>
          <w:rPr>
            <w:rFonts w:ascii="Arial" w:eastAsia="Arial" w:hAnsi="Arial" w:cs="Arial"/>
            <w:sz w:val="20"/>
            <w:u w:val="single"/>
          </w:rPr>
          <w:t>http://www.udlcenter.org/aboutudl/udlguidelines_theorypractice</w:t>
        </w:r>
      </w:hyperlink>
      <w:hyperlink r:id="rId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490"/>
    <w:multiLevelType w:val="multilevel"/>
    <w:tmpl w:val="95124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6601895"/>
    <w:multiLevelType w:val="multilevel"/>
    <w:tmpl w:val="7FAEA9A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58127F41"/>
    <w:multiLevelType w:val="multilevel"/>
    <w:tmpl w:val="87FAE542"/>
    <w:lvl w:ilvl="0">
      <w:start w:val="1"/>
      <w:numFmt w:val="bullet"/>
      <w:lvlText w:val="●"/>
      <w:lvlJc w:val="left"/>
      <w:pPr>
        <w:ind w:left="54" w:hanging="3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74" w:firstLine="4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94" w:firstLine="11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14" w:firstLine="18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34" w:firstLine="25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54" w:firstLine="32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74" w:firstLine="40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94" w:firstLine="47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14" w:firstLine="5454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2E"/>
    <w:rsid w:val="00BF4C2E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4C2E"/>
    <w:rPr>
      <w:rFonts w:ascii="Calibri" w:eastAsia="Calibri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4C2E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lcenter.org/aboutudl/udlguidelines_theorypractice" TargetMode="External"/><Relationship Id="rId1" Type="http://schemas.openxmlformats.org/officeDocument/2006/relationships/hyperlink" Target="http://www.udlcenter.org/aboutudl/udlguidelines_theory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2014-10-15T18:09:00Z</dcterms:created>
  <dcterms:modified xsi:type="dcterms:W3CDTF">2014-10-15T18:11:00Z</dcterms:modified>
</cp:coreProperties>
</file>