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DCA" w:rsidRPr="00A40C83" w:rsidRDefault="00012DCA" w:rsidP="00012DCA">
      <w:r w:rsidRPr="00A40C83">
        <w:rPr>
          <w:rFonts w:ascii="Verdana" w:hAnsi="Verdana"/>
          <w:bCs/>
          <w:color w:val="000066"/>
          <w:sz w:val="28"/>
          <w:szCs w:val="28"/>
        </w:rPr>
        <w:t>Transition Planning: Setting Lifelong Goals</w:t>
      </w:r>
      <w:bookmarkStart w:id="0" w:name="top"/>
      <w:bookmarkEnd w:id="0"/>
      <w:r w:rsidRPr="00A40C83">
        <w:rPr>
          <w:rFonts w:ascii="Verdana" w:hAnsi="Verdana"/>
          <w:bCs/>
          <w:color w:val="000066"/>
          <w:sz w:val="28"/>
          <w:szCs w:val="28"/>
        </w:rPr>
        <w:br/>
      </w:r>
      <w:r w:rsidRPr="00A40C83">
        <w:rPr>
          <w:rFonts w:ascii="Verdana" w:hAnsi="Verdana"/>
          <w:bCs/>
          <w:color w:val="000066"/>
        </w:rPr>
        <w:t>by Jennifer Graham and Peter Wright, Esq.</w:t>
      </w:r>
      <w:r>
        <w:rPr>
          <w:rFonts w:ascii="Verdana" w:hAnsi="Verdana"/>
          <w:bCs/>
          <w:color w:val="000066"/>
        </w:rPr>
        <w:t xml:space="preserve"> (With minor adaptations for Oregon)</w:t>
      </w:r>
    </w:p>
    <w:tbl>
      <w:tblPr>
        <w:tblStyle w:val="TableGrid"/>
        <w:tblW w:w="14310" w:type="dxa"/>
        <w:tblInd w:w="-522" w:type="dxa"/>
        <w:tblLook w:val="04A0" w:firstRow="1" w:lastRow="0" w:firstColumn="1" w:lastColumn="0" w:noHBand="0" w:noVBand="1"/>
      </w:tblPr>
      <w:tblGrid>
        <w:gridCol w:w="6210"/>
        <w:gridCol w:w="8100"/>
      </w:tblGrid>
      <w:tr w:rsidR="00012DCA" w:rsidTr="00890DEA">
        <w:tc>
          <w:tcPr>
            <w:tcW w:w="6210" w:type="dxa"/>
          </w:tcPr>
          <w:p w:rsidR="00012DCA" w:rsidRPr="00A40C83" w:rsidRDefault="00012DCA" w:rsidP="00890DEA">
            <w:pPr>
              <w:spacing w:before="120"/>
              <w:rPr>
                <w:rFonts w:ascii="Times New Roman" w:eastAsia="Times New Roman" w:hAnsi="Times New Roman" w:cs="Times New Roman"/>
                <w:color w:val="000000"/>
                <w:sz w:val="24"/>
                <w:szCs w:val="24"/>
              </w:rPr>
            </w:pPr>
            <w:r w:rsidRPr="00A40C83">
              <w:rPr>
                <w:rFonts w:ascii="Verdana" w:eastAsia="Times New Roman" w:hAnsi="Verdana" w:cs="Times New Roman"/>
                <w:b/>
                <w:bCs/>
                <w:color w:val="990000"/>
                <w:sz w:val="24"/>
                <w:szCs w:val="24"/>
              </w:rPr>
              <w:t>IDEA 2004 Transition Checklist</w:t>
            </w:r>
          </w:p>
          <w:p w:rsidR="00012DCA" w:rsidRPr="00A40C83" w:rsidRDefault="00012DCA" w:rsidP="00890DEA">
            <w:pPr>
              <w:spacing w:before="120"/>
              <w:rPr>
                <w:rFonts w:ascii="Times New Roman" w:eastAsia="Times New Roman" w:hAnsi="Times New Roman" w:cs="Times New Roman"/>
                <w:color w:val="000000"/>
                <w:sz w:val="24"/>
                <w:szCs w:val="24"/>
              </w:rPr>
            </w:pPr>
            <w:r w:rsidRPr="00A40C83">
              <w:rPr>
                <w:rFonts w:ascii="Verdana" w:eastAsia="Times New Roman" w:hAnsi="Verdana" w:cs="Times New Roman"/>
                <w:color w:val="000000"/>
                <w:sz w:val="20"/>
                <w:szCs w:val="20"/>
              </w:rPr>
              <w:t>IDEA 2004 describes the required components of the transition plan. During your child’s high school years, it is essential that the IEP team adhere to these requirements.</w:t>
            </w:r>
          </w:p>
          <w:p w:rsidR="00012DCA" w:rsidRPr="00A40C83" w:rsidRDefault="00012DCA" w:rsidP="00012DCA">
            <w:pPr>
              <w:numPr>
                <w:ilvl w:val="0"/>
                <w:numId w:val="1"/>
              </w:numPr>
              <w:tabs>
                <w:tab w:val="left" w:pos="702"/>
                <w:tab w:val="left" w:pos="1392"/>
              </w:tabs>
              <w:spacing w:before="120"/>
              <w:rPr>
                <w:rFonts w:ascii="Times New Roman" w:eastAsia="Times New Roman" w:hAnsi="Times New Roman" w:cs="Times New Roman"/>
                <w:color w:val="000000"/>
                <w:sz w:val="24"/>
                <w:szCs w:val="24"/>
              </w:rPr>
            </w:pPr>
            <w:r w:rsidRPr="00A40C83">
              <w:rPr>
                <w:rFonts w:ascii="Verdana" w:eastAsia="Times New Roman" w:hAnsi="Verdana" w:cs="Times New Roman"/>
                <w:color w:val="000000"/>
                <w:sz w:val="20"/>
                <w:szCs w:val="20"/>
              </w:rPr>
              <w:t>The student must be invited to participate in IEP meetings to discuss his/her goals for life after high school.</w:t>
            </w:r>
          </w:p>
          <w:p w:rsidR="00012DCA" w:rsidRPr="00A40C83" w:rsidRDefault="00012DCA" w:rsidP="00012DCA">
            <w:pPr>
              <w:numPr>
                <w:ilvl w:val="0"/>
                <w:numId w:val="1"/>
              </w:numPr>
              <w:tabs>
                <w:tab w:val="left" w:pos="702"/>
                <w:tab w:val="left" w:pos="1392"/>
              </w:tabs>
              <w:spacing w:before="120"/>
              <w:ind w:left="720"/>
              <w:rPr>
                <w:rFonts w:ascii="Times New Roman" w:eastAsia="Times New Roman" w:hAnsi="Times New Roman" w:cs="Times New Roman"/>
                <w:color w:val="000000"/>
                <w:sz w:val="24"/>
                <w:szCs w:val="24"/>
              </w:rPr>
            </w:pPr>
            <w:r w:rsidRPr="00A40C83">
              <w:rPr>
                <w:rFonts w:ascii="Verdana" w:eastAsia="Times New Roman" w:hAnsi="Verdana" w:cs="Times New Roman"/>
                <w:color w:val="000000"/>
                <w:sz w:val="20"/>
                <w:szCs w:val="20"/>
              </w:rPr>
              <w:t xml:space="preserve">You may request several IEP/Transition Planning meetings during the school year. </w:t>
            </w:r>
          </w:p>
          <w:p w:rsidR="00012DCA" w:rsidRPr="00A40C83" w:rsidRDefault="00012DCA" w:rsidP="00012DCA">
            <w:pPr>
              <w:numPr>
                <w:ilvl w:val="0"/>
                <w:numId w:val="1"/>
              </w:numPr>
              <w:tabs>
                <w:tab w:val="left" w:pos="702"/>
                <w:tab w:val="left" w:pos="1392"/>
              </w:tabs>
              <w:spacing w:before="120"/>
              <w:ind w:left="720"/>
              <w:rPr>
                <w:rFonts w:ascii="Times New Roman" w:eastAsia="Times New Roman" w:hAnsi="Times New Roman" w:cs="Times New Roman"/>
                <w:color w:val="000000"/>
                <w:sz w:val="24"/>
                <w:szCs w:val="24"/>
              </w:rPr>
            </w:pPr>
            <w:r w:rsidRPr="00A40C83">
              <w:rPr>
                <w:rFonts w:ascii="Verdana" w:eastAsia="Times New Roman" w:hAnsi="Verdana" w:cs="Times New Roman"/>
                <w:color w:val="000000"/>
                <w:sz w:val="20"/>
                <w:szCs w:val="20"/>
              </w:rPr>
              <w:t xml:space="preserve">You may invite representatives of local agencies to these IEP meetings to discuss transition goals and services to support those goals. </w:t>
            </w:r>
          </w:p>
          <w:p w:rsidR="00012DCA" w:rsidRPr="00A40C83" w:rsidRDefault="00012DCA" w:rsidP="00012DCA">
            <w:pPr>
              <w:numPr>
                <w:ilvl w:val="0"/>
                <w:numId w:val="1"/>
              </w:numPr>
              <w:tabs>
                <w:tab w:val="left" w:pos="702"/>
                <w:tab w:val="left" w:pos="1392"/>
              </w:tabs>
              <w:spacing w:before="120"/>
              <w:ind w:left="720"/>
              <w:rPr>
                <w:rFonts w:ascii="Times New Roman" w:eastAsia="Times New Roman" w:hAnsi="Times New Roman" w:cs="Times New Roman"/>
                <w:color w:val="000000"/>
                <w:sz w:val="24"/>
                <w:szCs w:val="24"/>
              </w:rPr>
            </w:pPr>
            <w:r w:rsidRPr="00A40C83">
              <w:rPr>
                <w:rFonts w:ascii="Verdana" w:eastAsia="Times New Roman" w:hAnsi="Verdana" w:cs="Times New Roman"/>
                <w:color w:val="000000"/>
                <w:sz w:val="20"/>
                <w:szCs w:val="20"/>
              </w:rPr>
              <w:t xml:space="preserve">The IEP, including the transition plan, should be based on person-centered planning, and reflect the student’s interests and skills. </w:t>
            </w:r>
          </w:p>
          <w:p w:rsidR="00012DCA" w:rsidRPr="00A40C83" w:rsidRDefault="00012DCA" w:rsidP="00012DCA">
            <w:pPr>
              <w:numPr>
                <w:ilvl w:val="1"/>
                <w:numId w:val="1"/>
              </w:numPr>
              <w:tabs>
                <w:tab w:val="num" w:pos="360"/>
                <w:tab w:val="left" w:pos="702"/>
                <w:tab w:val="left" w:pos="1392"/>
                <w:tab w:val="num" w:pos="1440"/>
              </w:tabs>
              <w:spacing w:before="120"/>
              <w:ind w:left="1440"/>
              <w:rPr>
                <w:rFonts w:ascii="Times New Roman" w:eastAsia="Times New Roman" w:hAnsi="Times New Roman" w:cs="Times New Roman"/>
                <w:color w:val="000000"/>
                <w:sz w:val="24"/>
                <w:szCs w:val="24"/>
              </w:rPr>
            </w:pPr>
            <w:r w:rsidRPr="00A40C83">
              <w:rPr>
                <w:rFonts w:ascii="Verdana" w:eastAsia="Times New Roman" w:hAnsi="Verdana" w:cs="Times New Roman"/>
                <w:color w:val="000000"/>
                <w:sz w:val="20"/>
                <w:szCs w:val="20"/>
              </w:rPr>
              <w:t xml:space="preserve">The work experiences or “community based work assessments” (CBWAs) chosen should be based on the student’s interests and abilities. Students should NOT be placed in a community based work assessment simply because it is available. </w:t>
            </w:r>
          </w:p>
          <w:p w:rsidR="00012DCA" w:rsidRPr="00A40C83" w:rsidRDefault="00012DCA" w:rsidP="00012DCA">
            <w:pPr>
              <w:numPr>
                <w:ilvl w:val="1"/>
                <w:numId w:val="1"/>
              </w:numPr>
              <w:tabs>
                <w:tab w:val="num" w:pos="360"/>
                <w:tab w:val="left" w:pos="702"/>
                <w:tab w:val="left" w:pos="1392"/>
                <w:tab w:val="num" w:pos="1440"/>
              </w:tabs>
              <w:spacing w:before="120"/>
              <w:ind w:left="1440"/>
              <w:rPr>
                <w:rFonts w:ascii="Times New Roman" w:eastAsia="Times New Roman" w:hAnsi="Times New Roman" w:cs="Times New Roman"/>
                <w:color w:val="000000"/>
                <w:sz w:val="24"/>
                <w:szCs w:val="24"/>
              </w:rPr>
            </w:pPr>
            <w:r w:rsidRPr="00A40C83">
              <w:rPr>
                <w:rFonts w:ascii="Verdana" w:eastAsia="Times New Roman" w:hAnsi="Verdana" w:cs="Times New Roman"/>
                <w:color w:val="000000"/>
                <w:sz w:val="20"/>
                <w:szCs w:val="20"/>
              </w:rPr>
              <w:t xml:space="preserve">Any placement should help the student develop skills in a setting that is of personal interest to him/ her and where his/her unique abilities can be successfully utilized and improved with job coaching. </w:t>
            </w:r>
          </w:p>
          <w:p w:rsidR="00012DCA" w:rsidRPr="00A40C83" w:rsidRDefault="00012DCA" w:rsidP="00012DCA">
            <w:pPr>
              <w:numPr>
                <w:ilvl w:val="0"/>
                <w:numId w:val="1"/>
              </w:numPr>
              <w:tabs>
                <w:tab w:val="left" w:pos="702"/>
                <w:tab w:val="left" w:pos="1392"/>
              </w:tabs>
              <w:spacing w:before="120"/>
              <w:ind w:left="720"/>
              <w:rPr>
                <w:rFonts w:ascii="Times New Roman" w:eastAsia="Times New Roman" w:hAnsi="Times New Roman" w:cs="Times New Roman"/>
                <w:color w:val="000000"/>
                <w:sz w:val="24"/>
                <w:szCs w:val="24"/>
              </w:rPr>
            </w:pPr>
            <w:r w:rsidRPr="00A40C83">
              <w:rPr>
                <w:rFonts w:ascii="Verdana" w:eastAsia="Times New Roman" w:hAnsi="Verdana" w:cs="Times New Roman"/>
                <w:color w:val="000000"/>
                <w:sz w:val="20"/>
                <w:szCs w:val="20"/>
              </w:rPr>
              <w:t xml:space="preserve">Annual transition goals in the IEP should lead to successful post- high school outcomes. </w:t>
            </w:r>
          </w:p>
          <w:p w:rsidR="00012DCA" w:rsidRPr="00A40C83" w:rsidRDefault="00012DCA" w:rsidP="00012DCA">
            <w:pPr>
              <w:numPr>
                <w:ilvl w:val="0"/>
                <w:numId w:val="1"/>
              </w:numPr>
              <w:tabs>
                <w:tab w:val="left" w:pos="702"/>
                <w:tab w:val="left" w:pos="1392"/>
              </w:tabs>
              <w:spacing w:before="120"/>
              <w:ind w:left="720"/>
              <w:rPr>
                <w:rFonts w:ascii="Times New Roman" w:eastAsia="Times New Roman" w:hAnsi="Times New Roman" w:cs="Times New Roman"/>
                <w:color w:val="000000"/>
                <w:sz w:val="24"/>
                <w:szCs w:val="24"/>
              </w:rPr>
            </w:pPr>
            <w:r w:rsidRPr="00A40C83">
              <w:rPr>
                <w:rFonts w:ascii="Verdana" w:eastAsia="Times New Roman" w:hAnsi="Verdana" w:cs="Times New Roman"/>
                <w:color w:val="000000"/>
                <w:sz w:val="20"/>
                <w:szCs w:val="20"/>
              </w:rPr>
              <w:t>Progress should be documented and measurable.</w:t>
            </w:r>
          </w:p>
          <w:p w:rsidR="00012DCA" w:rsidRPr="00A40C83" w:rsidRDefault="00012DCA" w:rsidP="00012DCA">
            <w:pPr>
              <w:numPr>
                <w:ilvl w:val="1"/>
                <w:numId w:val="1"/>
              </w:numPr>
              <w:tabs>
                <w:tab w:val="num" w:pos="360"/>
                <w:tab w:val="left" w:pos="702"/>
                <w:tab w:val="left" w:pos="1392"/>
                <w:tab w:val="num" w:pos="1440"/>
              </w:tabs>
              <w:spacing w:before="120"/>
              <w:ind w:left="1440"/>
              <w:rPr>
                <w:rFonts w:ascii="Times New Roman" w:eastAsia="Times New Roman" w:hAnsi="Times New Roman" w:cs="Times New Roman"/>
                <w:color w:val="000000"/>
                <w:sz w:val="24"/>
                <w:szCs w:val="24"/>
              </w:rPr>
            </w:pPr>
            <w:r w:rsidRPr="00A40C83">
              <w:rPr>
                <w:rFonts w:ascii="Verdana" w:eastAsia="Times New Roman" w:hAnsi="Verdana" w:cs="Times New Roman"/>
                <w:color w:val="000000"/>
                <w:sz w:val="20"/>
                <w:szCs w:val="20"/>
              </w:rPr>
              <w:lastRenderedPageBreak/>
              <w:t>Ask for progress reports about your child’s community based work experience. Discuss with the IEP team how your child will meet the goal of being employed after graduation, without a lapse in supports and services.</w:t>
            </w:r>
          </w:p>
          <w:p w:rsidR="00012DCA" w:rsidRPr="00A40C83" w:rsidRDefault="00012DCA" w:rsidP="00012DCA">
            <w:pPr>
              <w:numPr>
                <w:ilvl w:val="1"/>
                <w:numId w:val="1"/>
              </w:numPr>
              <w:tabs>
                <w:tab w:val="num" w:pos="360"/>
                <w:tab w:val="left" w:pos="702"/>
                <w:tab w:val="left" w:pos="1392"/>
                <w:tab w:val="num" w:pos="1440"/>
              </w:tabs>
              <w:spacing w:before="120"/>
              <w:ind w:left="1440"/>
              <w:rPr>
                <w:rFonts w:ascii="Times New Roman" w:eastAsia="Times New Roman" w:hAnsi="Times New Roman" w:cs="Times New Roman"/>
                <w:color w:val="000000"/>
                <w:sz w:val="24"/>
                <w:szCs w:val="24"/>
              </w:rPr>
            </w:pPr>
            <w:r w:rsidRPr="00A40C83">
              <w:rPr>
                <w:rFonts w:ascii="Verdana" w:eastAsia="Times New Roman" w:hAnsi="Verdana" w:cs="Times New Roman"/>
                <w:color w:val="000000"/>
                <w:sz w:val="20"/>
                <w:szCs w:val="20"/>
              </w:rPr>
              <w:t>Maintain a portfolio and resume of your child’s experiences, progress reports, and favorable reviews from your child’s supervisors.</w:t>
            </w:r>
          </w:p>
          <w:p w:rsidR="00012DCA" w:rsidRDefault="00012DCA" w:rsidP="00890DEA">
            <w:pPr>
              <w:spacing w:before="120"/>
            </w:pPr>
          </w:p>
        </w:tc>
        <w:tc>
          <w:tcPr>
            <w:tcW w:w="8100" w:type="dxa"/>
          </w:tcPr>
          <w:p w:rsidR="00012DCA" w:rsidRPr="00A40C83" w:rsidRDefault="00012DCA" w:rsidP="00890DEA">
            <w:pPr>
              <w:spacing w:before="120"/>
              <w:rPr>
                <w:rFonts w:ascii="Times New Roman" w:eastAsia="Times New Roman" w:hAnsi="Times New Roman" w:cs="Times New Roman"/>
                <w:color w:val="000000"/>
                <w:sz w:val="24"/>
                <w:szCs w:val="24"/>
              </w:rPr>
            </w:pPr>
            <w:r w:rsidRPr="00A40C83">
              <w:rPr>
                <w:rFonts w:ascii="Verdana" w:eastAsia="Times New Roman" w:hAnsi="Verdana" w:cs="Times New Roman"/>
                <w:b/>
                <w:bCs/>
                <w:color w:val="990000"/>
                <w:sz w:val="24"/>
                <w:szCs w:val="24"/>
              </w:rPr>
              <w:lastRenderedPageBreak/>
              <w:t>Transition Planning Checklist</w:t>
            </w:r>
          </w:p>
          <w:p w:rsidR="00012DCA" w:rsidRPr="00A40C83" w:rsidRDefault="00012DCA" w:rsidP="00890DEA">
            <w:pPr>
              <w:spacing w:before="120"/>
              <w:rPr>
                <w:rFonts w:ascii="Times New Roman" w:eastAsia="Times New Roman" w:hAnsi="Times New Roman" w:cs="Times New Roman"/>
                <w:color w:val="000000"/>
                <w:sz w:val="24"/>
                <w:szCs w:val="24"/>
              </w:rPr>
            </w:pPr>
            <w:r w:rsidRPr="00A40C83">
              <w:rPr>
                <w:rFonts w:ascii="Verdana" w:eastAsia="Times New Roman" w:hAnsi="Verdana" w:cs="Times New Roman"/>
                <w:color w:val="000000"/>
                <w:sz w:val="20"/>
                <w:szCs w:val="20"/>
              </w:rPr>
              <w:t>While IDEA 2004 provides the legal requirements for transition services to support your child’s goal of employment in the community or further education, there are several things that parents and students must do to prepare for life after high school.</w:t>
            </w:r>
          </w:p>
          <w:p w:rsidR="00012DCA" w:rsidRPr="00A40C83" w:rsidRDefault="00012DCA" w:rsidP="00012DCA">
            <w:pPr>
              <w:numPr>
                <w:ilvl w:val="0"/>
                <w:numId w:val="2"/>
              </w:numPr>
              <w:spacing w:before="120"/>
              <w:rPr>
                <w:rFonts w:ascii="Times New Roman" w:eastAsia="Times New Roman" w:hAnsi="Times New Roman" w:cs="Times New Roman"/>
                <w:color w:val="000000"/>
                <w:sz w:val="24"/>
                <w:szCs w:val="24"/>
              </w:rPr>
            </w:pPr>
            <w:r w:rsidRPr="00A40C83">
              <w:rPr>
                <w:rFonts w:ascii="Verdana" w:eastAsia="Times New Roman" w:hAnsi="Verdana" w:cs="Times New Roman"/>
                <w:color w:val="000000"/>
                <w:sz w:val="20"/>
                <w:szCs w:val="20"/>
              </w:rPr>
              <w:t xml:space="preserve">Confirm the date of your child’s graduation. Federal law states that your child's eligibility for special education ends when s/he graduates from high school </w:t>
            </w:r>
            <w:r w:rsidRPr="00A40C83">
              <w:rPr>
                <w:rFonts w:ascii="Verdana" w:eastAsia="Times New Roman" w:hAnsi="Verdana" w:cs="Times New Roman"/>
                <w:b/>
                <w:bCs/>
                <w:color w:val="000000"/>
                <w:sz w:val="20"/>
                <w:szCs w:val="20"/>
              </w:rPr>
              <w:t>with a regular diploma</w:t>
            </w:r>
            <w:r w:rsidRPr="00A40C83">
              <w:rPr>
                <w:rFonts w:ascii="Verdana" w:eastAsia="Times New Roman" w:hAnsi="Verdana" w:cs="Times New Roman"/>
                <w:color w:val="000000"/>
                <w:sz w:val="20"/>
                <w:szCs w:val="20"/>
              </w:rPr>
              <w:t xml:space="preserve"> or until the child reaches the age of eligibility for a free appropriate education under State law. </w:t>
            </w:r>
          </w:p>
          <w:p w:rsidR="00012DCA" w:rsidRPr="00A40C83" w:rsidRDefault="00012DCA" w:rsidP="00012DCA">
            <w:pPr>
              <w:numPr>
                <w:ilvl w:val="0"/>
                <w:numId w:val="2"/>
              </w:numPr>
              <w:spacing w:before="120"/>
              <w:rPr>
                <w:rFonts w:ascii="Times New Roman" w:eastAsia="Times New Roman" w:hAnsi="Times New Roman" w:cs="Times New Roman"/>
                <w:color w:val="000000"/>
                <w:sz w:val="24"/>
                <w:szCs w:val="24"/>
              </w:rPr>
            </w:pPr>
            <w:r w:rsidRPr="00A40C83">
              <w:rPr>
                <w:rFonts w:ascii="Verdana" w:eastAsia="Times New Roman" w:hAnsi="Verdana" w:cs="Times New Roman"/>
                <w:color w:val="000000"/>
                <w:sz w:val="20"/>
                <w:szCs w:val="20"/>
              </w:rPr>
              <w:t xml:space="preserve">Clarify whether your child will receive a regular high school diploma or a certificate of attendance. </w:t>
            </w:r>
          </w:p>
          <w:p w:rsidR="00012DCA" w:rsidRPr="00A40C83" w:rsidRDefault="00012DCA" w:rsidP="00012DCA">
            <w:pPr>
              <w:numPr>
                <w:ilvl w:val="0"/>
                <w:numId w:val="2"/>
              </w:numPr>
              <w:spacing w:before="120"/>
              <w:rPr>
                <w:rFonts w:ascii="Times New Roman" w:eastAsia="Times New Roman" w:hAnsi="Times New Roman" w:cs="Times New Roman"/>
                <w:color w:val="000000"/>
                <w:sz w:val="24"/>
                <w:szCs w:val="24"/>
              </w:rPr>
            </w:pPr>
            <w:r w:rsidRPr="00A40C83">
              <w:rPr>
                <w:rFonts w:ascii="Verdana" w:eastAsia="Times New Roman" w:hAnsi="Verdana" w:cs="Times New Roman"/>
                <w:color w:val="000000"/>
                <w:sz w:val="20"/>
                <w:szCs w:val="20"/>
              </w:rPr>
              <w:t xml:space="preserve">Clarify that you child will be able to fully participate in the graduation ceremony. </w:t>
            </w:r>
          </w:p>
          <w:p w:rsidR="00012DCA" w:rsidRPr="00A40C83" w:rsidRDefault="00012DCA" w:rsidP="00012DCA">
            <w:pPr>
              <w:numPr>
                <w:ilvl w:val="0"/>
                <w:numId w:val="2"/>
              </w:numPr>
              <w:spacing w:before="120"/>
              <w:rPr>
                <w:rFonts w:ascii="Times New Roman" w:eastAsia="Times New Roman" w:hAnsi="Times New Roman" w:cs="Times New Roman"/>
                <w:color w:val="000000"/>
                <w:sz w:val="24"/>
                <w:szCs w:val="24"/>
              </w:rPr>
            </w:pPr>
            <w:r w:rsidRPr="00A40C83">
              <w:rPr>
                <w:rFonts w:ascii="Verdana" w:eastAsia="Times New Roman" w:hAnsi="Verdana" w:cs="Times New Roman"/>
                <w:color w:val="000000"/>
                <w:sz w:val="20"/>
                <w:szCs w:val="20"/>
              </w:rPr>
              <w:t xml:space="preserve">Find out what local agencies provide job coaching for transitioning youth. Contacting adult provider agencies before your child graduates or “ages out” will help to ensure that your child will continue to receive services after graduation. This may also prevent your child from being placed on a long waiting list for adult services. </w:t>
            </w:r>
          </w:p>
          <w:p w:rsidR="00012DCA" w:rsidRPr="00A40C83" w:rsidRDefault="00012DCA" w:rsidP="00012DCA">
            <w:pPr>
              <w:numPr>
                <w:ilvl w:val="1"/>
                <w:numId w:val="2"/>
              </w:numPr>
              <w:spacing w:before="120"/>
              <w:rPr>
                <w:rFonts w:ascii="Times New Roman" w:eastAsia="Times New Roman" w:hAnsi="Times New Roman" w:cs="Times New Roman"/>
                <w:color w:val="000000"/>
                <w:sz w:val="24"/>
                <w:szCs w:val="24"/>
              </w:rPr>
            </w:pPr>
            <w:r w:rsidRPr="00A40C83">
              <w:rPr>
                <w:rFonts w:ascii="Verdana" w:eastAsia="Times New Roman" w:hAnsi="Verdana" w:cs="Times New Roman"/>
                <w:color w:val="000000"/>
                <w:sz w:val="20"/>
                <w:szCs w:val="20"/>
              </w:rPr>
              <w:t xml:space="preserve">You are entitled to invite representatives from other agencies to your child’s IEP meetings. </w:t>
            </w:r>
          </w:p>
          <w:p w:rsidR="00012DCA" w:rsidRPr="00A40C83" w:rsidRDefault="00012DCA" w:rsidP="00012DCA">
            <w:pPr>
              <w:numPr>
                <w:ilvl w:val="1"/>
                <w:numId w:val="2"/>
              </w:numPr>
              <w:spacing w:before="120"/>
              <w:rPr>
                <w:rFonts w:ascii="Times New Roman" w:eastAsia="Times New Roman" w:hAnsi="Times New Roman" w:cs="Times New Roman"/>
                <w:color w:val="000000"/>
                <w:sz w:val="24"/>
                <w:szCs w:val="24"/>
              </w:rPr>
            </w:pPr>
            <w:r w:rsidRPr="00A40C83">
              <w:rPr>
                <w:rFonts w:ascii="Verdana" w:eastAsia="Times New Roman" w:hAnsi="Verdana" w:cs="Times New Roman"/>
                <w:color w:val="000000"/>
                <w:sz w:val="20"/>
                <w:szCs w:val="20"/>
              </w:rPr>
              <w:t>If the IEP Team, which includes the parents and the child, determine that your child’s transition needs can be met by participating in transition programs on college campuses or in community based settings, these services should be included in the child’s IEP.[</w:t>
            </w:r>
            <w:hyperlink r:id="rId6" w:anchor="3" w:history="1">
              <w:r w:rsidRPr="00A40C83">
                <w:rPr>
                  <w:rFonts w:ascii="Verdana" w:eastAsia="Times New Roman" w:hAnsi="Verdana" w:cs="Times New Roman"/>
                  <w:color w:val="000066"/>
                  <w:sz w:val="20"/>
                  <w:szCs w:val="20"/>
                  <w:u w:val="single"/>
                </w:rPr>
                <w:t>3</w:t>
              </w:r>
            </w:hyperlink>
            <w:r w:rsidRPr="00A40C83">
              <w:rPr>
                <w:rFonts w:ascii="Verdana" w:eastAsia="Times New Roman" w:hAnsi="Verdana" w:cs="Times New Roman"/>
                <w:color w:val="000000"/>
                <w:sz w:val="20"/>
                <w:szCs w:val="20"/>
              </w:rPr>
              <w:t>]</w:t>
            </w:r>
          </w:p>
          <w:p w:rsidR="00012DCA" w:rsidRPr="00A40C83" w:rsidRDefault="00012DCA" w:rsidP="00012DCA">
            <w:pPr>
              <w:numPr>
                <w:ilvl w:val="0"/>
                <w:numId w:val="2"/>
              </w:numPr>
              <w:spacing w:before="120"/>
              <w:rPr>
                <w:rFonts w:ascii="Times New Roman" w:eastAsia="Times New Roman" w:hAnsi="Times New Roman" w:cs="Times New Roman"/>
                <w:color w:val="000000"/>
                <w:sz w:val="24"/>
                <w:szCs w:val="24"/>
              </w:rPr>
            </w:pPr>
            <w:r w:rsidRPr="00A40C83">
              <w:rPr>
                <w:rFonts w:ascii="Verdana" w:eastAsia="Times New Roman" w:hAnsi="Verdana" w:cs="Times New Roman"/>
                <w:color w:val="000000"/>
                <w:sz w:val="20"/>
                <w:szCs w:val="20"/>
              </w:rPr>
              <w:t xml:space="preserve">If your child has a supports coordinator from your local office of Mental Health, Behavioral Health, or Intellectual / Developmental Disabilities, invite the supports coordinator to IEP meetings during the last year of high school, if appropriate. This person can help to coordinate post-high school support services. </w:t>
            </w:r>
          </w:p>
          <w:p w:rsidR="00012DCA" w:rsidRPr="00A40C83" w:rsidRDefault="00012DCA" w:rsidP="00012DCA">
            <w:pPr>
              <w:numPr>
                <w:ilvl w:val="0"/>
                <w:numId w:val="2"/>
              </w:numPr>
              <w:spacing w:before="120"/>
              <w:rPr>
                <w:rFonts w:ascii="Times New Roman" w:eastAsia="Times New Roman" w:hAnsi="Times New Roman" w:cs="Times New Roman"/>
                <w:color w:val="000000"/>
                <w:sz w:val="24"/>
                <w:szCs w:val="24"/>
              </w:rPr>
            </w:pPr>
            <w:r w:rsidRPr="00A40C83">
              <w:rPr>
                <w:rFonts w:ascii="Verdana" w:eastAsia="Times New Roman" w:hAnsi="Verdana" w:cs="Times New Roman"/>
                <w:color w:val="000000"/>
                <w:sz w:val="20"/>
                <w:szCs w:val="20"/>
              </w:rPr>
              <w:lastRenderedPageBreak/>
              <w:t xml:space="preserve">If your child will be eligible for services through Vocational Rehabilitation, schedule an appointment for an intake interview and file the necessary paperwork with the Office of Vocational Rehabilitation ahead of time. Request that a Vocational Rehabilitation counselor attend the IEP meeting no later than spring of your child’s last year in high school. </w:t>
            </w:r>
          </w:p>
          <w:p w:rsidR="00012DCA" w:rsidRPr="00A40C83" w:rsidRDefault="00012DCA" w:rsidP="00012DCA">
            <w:pPr>
              <w:numPr>
                <w:ilvl w:val="0"/>
                <w:numId w:val="2"/>
              </w:numPr>
              <w:spacing w:before="120"/>
              <w:rPr>
                <w:rFonts w:ascii="Times New Roman" w:eastAsia="Times New Roman" w:hAnsi="Times New Roman" w:cs="Times New Roman"/>
                <w:color w:val="000000"/>
                <w:sz w:val="24"/>
                <w:szCs w:val="24"/>
              </w:rPr>
            </w:pPr>
            <w:r w:rsidRPr="00A40C83">
              <w:rPr>
                <w:rFonts w:ascii="Verdana" w:eastAsia="Times New Roman" w:hAnsi="Verdana" w:cs="Times New Roman"/>
                <w:color w:val="000000"/>
                <w:sz w:val="20"/>
                <w:szCs w:val="20"/>
              </w:rPr>
              <w:t xml:space="preserve">Discuss your child's transportation needs. If s/he will need assistance getting to and from work, request and fill out applications for public transportation services. </w:t>
            </w:r>
          </w:p>
          <w:p w:rsidR="00012DCA" w:rsidRPr="00A40C83" w:rsidRDefault="00012DCA" w:rsidP="00012DCA">
            <w:pPr>
              <w:numPr>
                <w:ilvl w:val="0"/>
                <w:numId w:val="2"/>
              </w:numPr>
              <w:spacing w:before="120"/>
              <w:rPr>
                <w:rFonts w:ascii="Times New Roman" w:eastAsia="Times New Roman" w:hAnsi="Times New Roman" w:cs="Times New Roman"/>
                <w:color w:val="000000"/>
                <w:sz w:val="24"/>
                <w:szCs w:val="24"/>
              </w:rPr>
            </w:pPr>
            <w:r w:rsidRPr="00A40C83">
              <w:rPr>
                <w:rFonts w:ascii="Verdana" w:eastAsia="Times New Roman" w:hAnsi="Verdana" w:cs="Times New Roman"/>
                <w:color w:val="000000"/>
                <w:sz w:val="20"/>
                <w:szCs w:val="20"/>
              </w:rPr>
              <w:t xml:space="preserve">Request information about social/recreational opportunities for young adults with disabilities in your community. Ask for their contact information. </w:t>
            </w:r>
          </w:p>
          <w:p w:rsidR="00012DCA" w:rsidRPr="00A40C83" w:rsidRDefault="00012DCA" w:rsidP="00012DCA">
            <w:pPr>
              <w:numPr>
                <w:ilvl w:val="0"/>
                <w:numId w:val="2"/>
              </w:numPr>
              <w:spacing w:before="120"/>
              <w:rPr>
                <w:rFonts w:ascii="Times New Roman" w:eastAsia="Times New Roman" w:hAnsi="Times New Roman" w:cs="Times New Roman"/>
                <w:color w:val="000000"/>
                <w:sz w:val="24"/>
                <w:szCs w:val="24"/>
              </w:rPr>
            </w:pPr>
            <w:r w:rsidRPr="00A40C83">
              <w:rPr>
                <w:rFonts w:ascii="Verdana" w:eastAsia="Times New Roman" w:hAnsi="Verdana" w:cs="Times New Roman"/>
                <w:color w:val="000000"/>
                <w:sz w:val="20"/>
                <w:szCs w:val="20"/>
              </w:rPr>
              <w:t xml:space="preserve">Request information about post-high school training programs at local vocational schools, community colleges, business schools, and state-affiliated training schools. </w:t>
            </w:r>
          </w:p>
          <w:p w:rsidR="00012DCA" w:rsidRPr="00A40C83" w:rsidRDefault="00012DCA" w:rsidP="00890DEA">
            <w:pPr>
              <w:spacing w:before="120"/>
              <w:rPr>
                <w:rFonts w:ascii="Times New Roman" w:eastAsia="Times New Roman" w:hAnsi="Times New Roman" w:cs="Times New Roman"/>
                <w:color w:val="000000"/>
                <w:sz w:val="24"/>
                <w:szCs w:val="24"/>
              </w:rPr>
            </w:pPr>
            <w:r w:rsidRPr="00A40C83">
              <w:rPr>
                <w:rFonts w:ascii="Verdana" w:eastAsia="Times New Roman" w:hAnsi="Verdana" w:cs="Times New Roman"/>
                <w:color w:val="000000"/>
                <w:sz w:val="20"/>
                <w:szCs w:val="20"/>
              </w:rPr>
              <w:t xml:space="preserve">When your child graduates from high school, you and your graduate should celebrate accomplishments -- and the transition to adulthood. </w:t>
            </w:r>
          </w:p>
          <w:p w:rsidR="00012DCA" w:rsidRPr="00A40C83" w:rsidRDefault="00012DCA" w:rsidP="00890DEA">
            <w:pPr>
              <w:spacing w:before="120"/>
              <w:rPr>
                <w:rFonts w:ascii="Times New Roman" w:eastAsia="Times New Roman" w:hAnsi="Times New Roman" w:cs="Times New Roman"/>
                <w:color w:val="000000"/>
                <w:sz w:val="24"/>
                <w:szCs w:val="24"/>
              </w:rPr>
            </w:pPr>
            <w:r w:rsidRPr="00A40C83">
              <w:rPr>
                <w:rFonts w:ascii="Verdana" w:eastAsia="Times New Roman" w:hAnsi="Verdana" w:cs="Times New Roman"/>
                <w:color w:val="000000"/>
                <w:sz w:val="20"/>
                <w:szCs w:val="20"/>
              </w:rPr>
              <w:t xml:space="preserve">With the new emphasis on transition planning in IDEA 2004, and online resources such as </w:t>
            </w:r>
            <w:hyperlink r:id="rId7" w:history="1">
              <w:r w:rsidRPr="00A40C83">
                <w:rPr>
                  <w:rFonts w:ascii="Verdana" w:eastAsia="Times New Roman" w:hAnsi="Verdana" w:cs="Times New Roman"/>
                  <w:color w:val="000066"/>
                  <w:sz w:val="20"/>
                  <w:szCs w:val="20"/>
                  <w:u w:val="single"/>
                </w:rPr>
                <w:t>www.wrightslaw.com</w:t>
              </w:r>
            </w:hyperlink>
            <w:r w:rsidRPr="00A40C83">
              <w:rPr>
                <w:rFonts w:ascii="Verdana" w:eastAsia="Times New Roman" w:hAnsi="Verdana" w:cs="Times New Roman"/>
                <w:color w:val="000000"/>
                <w:sz w:val="20"/>
                <w:szCs w:val="20"/>
              </w:rPr>
              <w:t>, more students with disabilities are preparing for further education, employment and independent living as productive, active members of their communities.</w:t>
            </w:r>
          </w:p>
          <w:p w:rsidR="00012DCA" w:rsidRDefault="00012DCA" w:rsidP="00890DEA">
            <w:pPr>
              <w:spacing w:before="120"/>
            </w:pPr>
          </w:p>
        </w:tc>
      </w:tr>
    </w:tbl>
    <w:p w:rsidR="00DC245A" w:rsidRDefault="00DC245A">
      <w:bookmarkStart w:id="1" w:name="_GoBack"/>
      <w:bookmarkEnd w:id="1"/>
    </w:p>
    <w:sectPr w:rsidR="00DC245A" w:rsidSect="00012DC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72F1F"/>
    <w:multiLevelType w:val="multilevel"/>
    <w:tmpl w:val="E1DC6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27657C"/>
    <w:multiLevelType w:val="multilevel"/>
    <w:tmpl w:val="199A8E0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DCA"/>
    <w:rsid w:val="00012DCA"/>
    <w:rsid w:val="00DC24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rightsl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rightslaw.com/info/trans.plan.graham.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4118</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2014-10-16T16:13:00Z</dcterms:created>
  <dcterms:modified xsi:type="dcterms:W3CDTF">2014-10-16T16:14:00Z</dcterms:modified>
</cp:coreProperties>
</file>