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0D" w:rsidRPr="00AE650D" w:rsidRDefault="00AE650D" w:rsidP="00AE650D">
      <w:pPr>
        <w:spacing w:after="120" w:line="240" w:lineRule="auto"/>
        <w:jc w:val="center"/>
        <w:rPr>
          <w:rFonts w:ascii="Arial" w:eastAsia="Times New Roman" w:hAnsi="Arial" w:cs="Arial"/>
          <w:b/>
          <w:color w:val="000000"/>
          <w:sz w:val="28"/>
          <w:szCs w:val="17"/>
          <w:lang w:eastAsia="en-US"/>
        </w:rPr>
      </w:pPr>
      <w:r w:rsidRPr="00AE650D">
        <w:rPr>
          <w:rFonts w:ascii="Arial" w:eastAsia="Times New Roman" w:hAnsi="Arial" w:cs="Arial"/>
          <w:b/>
          <w:color w:val="000000"/>
          <w:sz w:val="28"/>
          <w:szCs w:val="17"/>
          <w:lang w:eastAsia="en-US"/>
        </w:rPr>
        <w:t>ADDICTIONS AND MENTAL HEALTH (AMH) SERVICES IN OREGON</w:t>
      </w:r>
    </w:p>
    <w:p w:rsidR="00AE650D" w:rsidRPr="00AE650D" w:rsidRDefault="00AE650D" w:rsidP="00AE650D">
      <w:pPr>
        <w:spacing w:after="120" w:line="240" w:lineRule="auto"/>
        <w:rPr>
          <w:rFonts w:ascii="Verdana" w:eastAsia="Times New Roman" w:hAnsi="Verdana" w:cs="Arial"/>
          <w:color w:val="000000"/>
          <w:sz w:val="17"/>
          <w:szCs w:val="17"/>
          <w:lang w:eastAsia="en-US"/>
        </w:rPr>
      </w:pPr>
    </w:p>
    <w:p w:rsidR="00AE650D" w:rsidRPr="00AE650D" w:rsidRDefault="00AE650D" w:rsidP="00AE650D">
      <w:pPr>
        <w:spacing w:after="0" w:line="240"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The Addictions and Mental Health division (AMH) of the Oregon Health Authority provides Oregonians access to mental health and addiction services and supports meeting the needs of adults and children to live, be educated, work and participate in their communities and to help them achieve optimum physical, mental and social well-being. This is done by working in partnership with individuals and their families, counties, other state agencies, providers, advocates and communities. </w:t>
      </w:r>
    </w:p>
    <w:p w:rsidR="00AE650D" w:rsidRPr="00AE650D" w:rsidRDefault="00AE650D" w:rsidP="00AE650D">
      <w:pPr>
        <w:spacing w:after="0" w:line="240" w:lineRule="auto"/>
        <w:rPr>
          <w:rFonts w:ascii="Arial" w:eastAsia="Times New Roman" w:hAnsi="Arial" w:cs="Arial"/>
          <w:sz w:val="21"/>
          <w:szCs w:val="21"/>
          <w:lang w:eastAsia="en-US"/>
        </w:rPr>
      </w:pPr>
    </w:p>
    <w:p w:rsidR="00AE650D" w:rsidRPr="00AE650D" w:rsidRDefault="00AE650D" w:rsidP="00AE650D">
      <w:pPr>
        <w:spacing w:after="0" w:line="240" w:lineRule="auto"/>
        <w:outlineLvl w:val="3"/>
        <w:rPr>
          <w:rFonts w:ascii="Arial" w:eastAsia="Times New Roman" w:hAnsi="Arial" w:cs="Arial"/>
          <w:b/>
          <w:bCs/>
          <w:sz w:val="21"/>
          <w:szCs w:val="21"/>
          <w:lang w:eastAsia="en-US"/>
        </w:rPr>
      </w:pPr>
      <w:r w:rsidRPr="00AE650D">
        <w:rPr>
          <w:rFonts w:ascii="Arial" w:eastAsia="Times New Roman" w:hAnsi="Arial" w:cs="Arial"/>
          <w:b/>
          <w:bCs/>
          <w:sz w:val="21"/>
          <w:szCs w:val="21"/>
          <w:lang w:eastAsia="en-US"/>
        </w:rPr>
        <w:t xml:space="preserve">AMH is responsible for these key areas: </w:t>
      </w:r>
    </w:p>
    <w:p w:rsidR="00AE650D" w:rsidRPr="00AE650D" w:rsidRDefault="00AE650D" w:rsidP="00AE650D">
      <w:pPr>
        <w:numPr>
          <w:ilvl w:val="0"/>
          <w:numId w:val="10"/>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Substance abuse and problem gambling prevention services </w:t>
      </w:r>
    </w:p>
    <w:p w:rsidR="00AE650D" w:rsidRPr="00AE650D" w:rsidRDefault="00AE650D" w:rsidP="00AE650D">
      <w:pPr>
        <w:numPr>
          <w:ilvl w:val="0"/>
          <w:numId w:val="10"/>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Substance abuse and problem gambling treatment services </w:t>
      </w:r>
    </w:p>
    <w:p w:rsidR="00AE650D" w:rsidRPr="00AE650D" w:rsidRDefault="00AE650D" w:rsidP="00AE650D">
      <w:pPr>
        <w:numPr>
          <w:ilvl w:val="0"/>
          <w:numId w:val="10"/>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Children and Adult Mental health services </w:t>
      </w:r>
    </w:p>
    <w:p w:rsidR="00AE650D" w:rsidRPr="00AE650D" w:rsidRDefault="00AE650D" w:rsidP="00AE650D">
      <w:pPr>
        <w:numPr>
          <w:ilvl w:val="0"/>
          <w:numId w:val="10"/>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Maintaining custody of persons committed to the state by courts for care and treatment of mental illness </w:t>
      </w:r>
    </w:p>
    <w:p w:rsidR="00AE650D" w:rsidRPr="00AE650D" w:rsidRDefault="00AE650D" w:rsidP="00AE650D">
      <w:pPr>
        <w:numPr>
          <w:ilvl w:val="0"/>
          <w:numId w:val="10"/>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Managing the state hospital system </w:t>
      </w:r>
    </w:p>
    <w:p w:rsidR="00AE650D" w:rsidRPr="00AE650D" w:rsidRDefault="00AE650D" w:rsidP="00AE650D">
      <w:pPr>
        <w:spacing w:after="0" w:line="240" w:lineRule="auto"/>
        <w:rPr>
          <w:rFonts w:ascii="Arial" w:eastAsia="Times New Roman" w:hAnsi="Arial" w:cs="Arial"/>
          <w:sz w:val="21"/>
          <w:szCs w:val="21"/>
          <w:lang w:eastAsia="en-US"/>
        </w:rPr>
      </w:pPr>
    </w:p>
    <w:p w:rsidR="00AE650D" w:rsidRPr="00AE650D" w:rsidRDefault="00AE650D" w:rsidP="00AE650D">
      <w:pPr>
        <w:spacing w:after="0" w:line="240" w:lineRule="auto"/>
        <w:outlineLvl w:val="3"/>
        <w:rPr>
          <w:rFonts w:ascii="Arial" w:eastAsia="Times New Roman" w:hAnsi="Arial" w:cs="Arial"/>
          <w:b/>
          <w:bCs/>
          <w:sz w:val="21"/>
          <w:szCs w:val="21"/>
          <w:lang w:eastAsia="en-US"/>
        </w:rPr>
      </w:pPr>
      <w:r w:rsidRPr="00AE650D">
        <w:rPr>
          <w:rFonts w:ascii="Arial" w:eastAsia="Times New Roman" w:hAnsi="Arial" w:cs="Arial"/>
          <w:b/>
          <w:bCs/>
          <w:sz w:val="21"/>
          <w:szCs w:val="21"/>
          <w:lang w:eastAsia="en-US"/>
        </w:rPr>
        <w:t xml:space="preserve">Oregon's prevention system aspires to: </w:t>
      </w:r>
    </w:p>
    <w:p w:rsidR="00AE650D" w:rsidRPr="00AE650D" w:rsidRDefault="00AE650D" w:rsidP="00AE650D">
      <w:pPr>
        <w:numPr>
          <w:ilvl w:val="0"/>
          <w:numId w:val="11"/>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Create and disseminate programs for parents with children ages 10-14; </w:t>
      </w:r>
    </w:p>
    <w:p w:rsidR="00AE650D" w:rsidRPr="00AE650D" w:rsidRDefault="00AE650D" w:rsidP="00AE650D">
      <w:pPr>
        <w:numPr>
          <w:ilvl w:val="0"/>
          <w:numId w:val="11"/>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Develop a methamphetamine prevention curriculum for Oregon's children; </w:t>
      </w:r>
    </w:p>
    <w:p w:rsidR="00AE650D" w:rsidRPr="00AE650D" w:rsidRDefault="00AE650D" w:rsidP="00AE650D">
      <w:pPr>
        <w:numPr>
          <w:ilvl w:val="0"/>
          <w:numId w:val="11"/>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workplace prevention training and assistance to employers; and </w:t>
      </w:r>
    </w:p>
    <w:p w:rsidR="00AE650D" w:rsidRPr="00AE650D" w:rsidRDefault="00AE650D" w:rsidP="00AE650D">
      <w:pPr>
        <w:numPr>
          <w:ilvl w:val="0"/>
          <w:numId w:val="11"/>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Supply a consistent statewide prevention program for all communities. </w:t>
      </w:r>
    </w:p>
    <w:p w:rsidR="00AE650D" w:rsidRPr="00AE650D" w:rsidRDefault="00AE650D" w:rsidP="00AE650D">
      <w:pPr>
        <w:spacing w:after="0" w:line="240" w:lineRule="auto"/>
        <w:rPr>
          <w:rFonts w:ascii="Arial" w:eastAsia="Times New Roman" w:hAnsi="Arial" w:cs="Arial"/>
          <w:sz w:val="21"/>
          <w:szCs w:val="21"/>
          <w:lang w:eastAsia="en-US"/>
        </w:rPr>
      </w:pPr>
    </w:p>
    <w:p w:rsidR="00AE650D" w:rsidRPr="00AE650D" w:rsidRDefault="00AE650D" w:rsidP="00AE650D">
      <w:pPr>
        <w:spacing w:after="0" w:line="240" w:lineRule="auto"/>
        <w:outlineLvl w:val="3"/>
        <w:rPr>
          <w:rFonts w:ascii="Arial" w:eastAsia="Times New Roman" w:hAnsi="Arial" w:cs="Arial"/>
          <w:b/>
          <w:bCs/>
          <w:sz w:val="21"/>
          <w:szCs w:val="21"/>
          <w:lang w:eastAsia="en-US"/>
        </w:rPr>
      </w:pPr>
      <w:r w:rsidRPr="00AE650D">
        <w:rPr>
          <w:rFonts w:ascii="Arial" w:eastAsia="Times New Roman" w:hAnsi="Arial" w:cs="Arial"/>
          <w:b/>
          <w:bCs/>
          <w:sz w:val="21"/>
          <w:szCs w:val="21"/>
          <w:lang w:eastAsia="en-US"/>
        </w:rPr>
        <w:t xml:space="preserve">Oregon's addictions treatment system aspires to: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appropriate family-based treatment for youth with co-occurring (addictions and mental health) disorders;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Appropriately serve more than 400 adults with co-occurring disorders;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outpatient substance abuse and problem gambling treatment for individuals;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culturally and linguistically competent addictions treatment to reduce health disparities;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Ensure provider pay reflects the cost of providing efficient and effective services;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sufficient alcohol-and drug-free housing to support recovery; and </w:t>
      </w:r>
    </w:p>
    <w:p w:rsidR="00AE650D" w:rsidRPr="00AE650D" w:rsidRDefault="00AE650D" w:rsidP="00AE650D">
      <w:pPr>
        <w:numPr>
          <w:ilvl w:val="0"/>
          <w:numId w:val="12"/>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Collect comprehensive data and use it for management of performance. </w:t>
      </w:r>
    </w:p>
    <w:p w:rsidR="00AE650D" w:rsidRPr="00AE650D" w:rsidRDefault="00AE650D" w:rsidP="00AE650D">
      <w:pPr>
        <w:spacing w:after="0" w:line="240" w:lineRule="auto"/>
        <w:rPr>
          <w:rFonts w:ascii="Arial" w:eastAsia="Times New Roman" w:hAnsi="Arial" w:cs="Arial"/>
          <w:sz w:val="21"/>
          <w:szCs w:val="21"/>
          <w:lang w:eastAsia="en-US"/>
        </w:rPr>
      </w:pPr>
    </w:p>
    <w:p w:rsidR="00AE650D" w:rsidRPr="00AE650D" w:rsidRDefault="00AE650D" w:rsidP="00AE650D">
      <w:pPr>
        <w:spacing w:after="0" w:line="240" w:lineRule="auto"/>
        <w:outlineLvl w:val="3"/>
        <w:rPr>
          <w:rFonts w:ascii="Arial" w:eastAsia="Times New Roman" w:hAnsi="Arial" w:cs="Arial"/>
          <w:b/>
          <w:bCs/>
          <w:sz w:val="21"/>
          <w:szCs w:val="21"/>
          <w:lang w:eastAsia="en-US"/>
        </w:rPr>
      </w:pPr>
      <w:r w:rsidRPr="00AE650D">
        <w:rPr>
          <w:rFonts w:ascii="Arial" w:eastAsia="Times New Roman" w:hAnsi="Arial" w:cs="Arial"/>
          <w:b/>
          <w:bCs/>
          <w:sz w:val="21"/>
          <w:szCs w:val="21"/>
          <w:lang w:eastAsia="en-US"/>
        </w:rPr>
        <w:t xml:space="preserve">Oregon's community mental health treatment system aspires to: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the necessary array of community services to help individuals be successfully integrated in the community of their choice;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Fully develop a broad array of peer recovery support services;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Improve access to community-based mental health services for children and their families;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Develop strategies to help prevent hospitalization and unnecessary crises.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Ensure access to care by increasing payment rates to reflect the cost of providing critical services;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appropriate mental health services for older Oregonians.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Provide statewide early intervention services targeted to adolescence and young adults; and </w:t>
      </w:r>
    </w:p>
    <w:p w:rsidR="00AE650D" w:rsidRPr="00AE650D" w:rsidRDefault="00AE650D" w:rsidP="00AE650D">
      <w:pPr>
        <w:numPr>
          <w:ilvl w:val="0"/>
          <w:numId w:val="13"/>
        </w:numPr>
        <w:spacing w:after="0" w:line="312" w:lineRule="auto"/>
        <w:rPr>
          <w:rFonts w:ascii="Arial" w:eastAsia="Times New Roman" w:hAnsi="Arial" w:cs="Arial"/>
          <w:sz w:val="21"/>
          <w:szCs w:val="21"/>
          <w:lang w:eastAsia="en-US"/>
        </w:rPr>
      </w:pPr>
      <w:r w:rsidRPr="00AE650D">
        <w:rPr>
          <w:rFonts w:ascii="Arial" w:eastAsia="Times New Roman" w:hAnsi="Arial" w:cs="Arial"/>
          <w:sz w:val="21"/>
          <w:szCs w:val="21"/>
          <w:lang w:eastAsia="en-US"/>
        </w:rPr>
        <w:t xml:space="preserve">Collect comprehensive data and use it for management of performance. </w:t>
      </w:r>
    </w:p>
    <w:p w:rsidR="00AE650D" w:rsidRPr="00AE650D" w:rsidRDefault="00AE650D" w:rsidP="00AE650D">
      <w:pPr>
        <w:spacing w:after="0"/>
        <w:rPr>
          <w:rFonts w:ascii="Arial" w:eastAsia="Times New Roman" w:hAnsi="Arial" w:cs="Arial"/>
          <w:sz w:val="21"/>
          <w:szCs w:val="21"/>
          <w:lang w:eastAsia="en-US"/>
        </w:rPr>
      </w:pPr>
    </w:p>
    <w:p w:rsidR="00AE650D" w:rsidRPr="00AE650D" w:rsidRDefault="00AE650D" w:rsidP="00AE650D">
      <w:pPr>
        <w:spacing w:after="0"/>
        <w:rPr>
          <w:rFonts w:ascii="Arial" w:eastAsia="Times New Roman" w:hAnsi="Arial" w:cs="Arial"/>
          <w:sz w:val="21"/>
          <w:szCs w:val="21"/>
          <w:lang w:eastAsia="en-US"/>
        </w:rPr>
      </w:pPr>
      <w:r w:rsidRPr="00AE650D">
        <w:rPr>
          <w:rFonts w:ascii="Arial" w:eastAsia="Times New Roman" w:hAnsi="Arial" w:cs="Arial"/>
          <w:sz w:val="21"/>
          <w:szCs w:val="21"/>
          <w:lang w:eastAsia="en-US"/>
        </w:rPr>
        <w:t>Contact your Community Mental Health Program</w:t>
      </w:r>
    </w:p>
    <w:p w:rsidR="00AE650D" w:rsidRPr="00AE650D" w:rsidRDefault="00AE650D" w:rsidP="00AE650D">
      <w:pPr>
        <w:spacing w:after="0"/>
        <w:rPr>
          <w:rFonts w:ascii="Arial" w:eastAsia="Calibri" w:hAnsi="Arial" w:cs="Arial"/>
          <w:sz w:val="21"/>
          <w:szCs w:val="21"/>
          <w:lang w:eastAsia="en-US"/>
        </w:rPr>
      </w:pPr>
      <w:hyperlink r:id="rId6" w:history="1">
        <w:r w:rsidRPr="00AE650D">
          <w:rPr>
            <w:rFonts w:ascii="Arial" w:eastAsia="Times New Roman" w:hAnsi="Arial" w:cs="Arial"/>
            <w:color w:val="0000FF"/>
            <w:sz w:val="21"/>
            <w:szCs w:val="21"/>
            <w:u w:val="single"/>
            <w:lang w:eastAsia="en-US"/>
          </w:rPr>
          <w:t>http://www.oregon.gov/oha/amh/pages/cmh-programs.aspx</w:t>
        </w:r>
      </w:hyperlink>
      <w:r w:rsidRPr="00AE650D">
        <w:rPr>
          <w:rFonts w:ascii="Arial" w:eastAsia="Times New Roman" w:hAnsi="Arial" w:cs="Arial"/>
          <w:sz w:val="21"/>
          <w:szCs w:val="21"/>
          <w:lang w:eastAsia="en-US"/>
        </w:rPr>
        <w:t xml:space="preserve"> </w:t>
      </w:r>
      <w:r w:rsidRPr="00AE650D">
        <w:rPr>
          <w:rFonts w:ascii="Arial" w:eastAsia="Times New Roman" w:hAnsi="Arial" w:cs="Arial"/>
          <w:sz w:val="21"/>
          <w:szCs w:val="21"/>
          <w:lang w:eastAsia="en-US"/>
        </w:rPr>
        <w:br/>
      </w:r>
    </w:p>
    <w:p w:rsidR="00AE650D" w:rsidRPr="00AE650D" w:rsidRDefault="00AE650D" w:rsidP="00AE650D">
      <w:pPr>
        <w:rPr>
          <w:rFonts w:cstheme="minorHAnsi"/>
          <w:sz w:val="20"/>
          <w:szCs w:val="20"/>
        </w:rPr>
      </w:pPr>
    </w:p>
    <w:p w:rsidR="00AE650D" w:rsidRPr="00AE650D" w:rsidRDefault="00AE650D" w:rsidP="00AE650D">
      <w:pPr>
        <w:rPr>
          <w:rFonts w:cstheme="minorHAnsi"/>
          <w:sz w:val="20"/>
          <w:szCs w:val="20"/>
        </w:rPr>
        <w:sectPr w:rsidR="00AE650D" w:rsidRPr="00AE650D" w:rsidSect="007F3E09">
          <w:footerReference w:type="default" r:id="rId7"/>
          <w:type w:val="continuous"/>
          <w:pgSz w:w="12240" w:h="15840" w:code="1"/>
          <w:pgMar w:top="720" w:right="720" w:bottom="720" w:left="1440" w:header="288" w:footer="288" w:gutter="0"/>
          <w:cols w:space="720"/>
          <w:docGrid w:linePitch="360"/>
        </w:sectPr>
      </w:pPr>
      <w:bookmarkStart w:id="0" w:name="_GoBack"/>
      <w:bookmarkEnd w:id="0"/>
    </w:p>
    <w:p w:rsidR="00AE650D" w:rsidRDefault="00AE650D" w:rsidP="00AE650D"/>
    <w:sectPr w:rsidR="00AE650D" w:rsidSect="00AE650D">
      <w:type w:val="continuous"/>
      <w:pgSz w:w="12240" w:h="15840" w:code="1"/>
      <w:pgMar w:top="720" w:right="432" w:bottom="720" w:left="1440" w:header="288" w:footer="28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76599"/>
      <w:docPartObj>
        <w:docPartGallery w:val="Page Numbers (Bottom of Page)"/>
        <w:docPartUnique/>
      </w:docPartObj>
    </w:sdtPr>
    <w:sdtEndPr>
      <w:rPr>
        <w:noProof/>
      </w:rPr>
    </w:sdtEndPr>
    <w:sdtContent>
      <w:p w:rsidR="00417851" w:rsidRDefault="00AE650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7851" w:rsidRDefault="00AE650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4E"/>
    <w:multiLevelType w:val="multilevel"/>
    <w:tmpl w:val="E04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8CC"/>
    <w:multiLevelType w:val="singleLevel"/>
    <w:tmpl w:val="4A7CE520"/>
    <w:lvl w:ilvl="0">
      <w:start w:val="5"/>
      <w:numFmt w:val="decimal"/>
      <w:lvlText w:val="%1."/>
      <w:legacy w:legacy="1" w:legacySpace="0" w:legacyIndent="360"/>
      <w:lvlJc w:val="left"/>
      <w:rPr>
        <w:rFonts w:ascii="Times New Roman" w:hAnsi="Times New Roman" w:cs="Times New Roman" w:hint="default"/>
      </w:rPr>
    </w:lvl>
  </w:abstractNum>
  <w:abstractNum w:abstractNumId="2">
    <w:nsid w:val="09524A4A"/>
    <w:multiLevelType w:val="multilevel"/>
    <w:tmpl w:val="6C2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3F0"/>
    <w:multiLevelType w:val="hybridMultilevel"/>
    <w:tmpl w:val="26445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F0FB0"/>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921B6"/>
    <w:multiLevelType w:val="hybridMultilevel"/>
    <w:tmpl w:val="2BB04F6E"/>
    <w:lvl w:ilvl="0" w:tplc="A8B807A6">
      <w:start w:val="1"/>
      <w:numFmt w:val="lowerLetter"/>
      <w:lvlText w:val="%1."/>
      <w:lvlJc w:val="left"/>
      <w:pPr>
        <w:tabs>
          <w:tab w:val="num" w:pos="1080"/>
        </w:tabs>
        <w:ind w:left="1080" w:hanging="360"/>
      </w:pPr>
      <w:rPr>
        <w:rFonts w:hint="default"/>
      </w:rPr>
    </w:lvl>
    <w:lvl w:ilvl="1" w:tplc="AAC0318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7C50"/>
    <w:multiLevelType w:val="hybridMultilevel"/>
    <w:tmpl w:val="CA2C76B0"/>
    <w:lvl w:ilvl="0" w:tplc="EB001F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F503A"/>
    <w:multiLevelType w:val="hybridMultilevel"/>
    <w:tmpl w:val="366414D2"/>
    <w:lvl w:ilvl="0" w:tplc="A8B80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434CF"/>
    <w:multiLevelType w:val="multilevel"/>
    <w:tmpl w:val="69D21D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46EA3894"/>
    <w:multiLevelType w:val="singleLevel"/>
    <w:tmpl w:val="729C354C"/>
    <w:lvl w:ilvl="0">
      <w:start w:val="1"/>
      <w:numFmt w:val="decimal"/>
      <w:lvlText w:val="%1."/>
      <w:legacy w:legacy="1" w:legacySpace="0" w:legacyIndent="360"/>
      <w:lvlJc w:val="left"/>
      <w:rPr>
        <w:rFonts w:ascii="Times New Roman" w:hAnsi="Times New Roman" w:cs="Times New Roman" w:hint="default"/>
      </w:rPr>
    </w:lvl>
  </w:abstractNum>
  <w:abstractNum w:abstractNumId="13">
    <w:nsid w:val="4C2742E7"/>
    <w:multiLevelType w:val="hybridMultilevel"/>
    <w:tmpl w:val="D5E8D434"/>
    <w:lvl w:ilvl="0" w:tplc="AAC031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263"/>
    <w:multiLevelType w:val="hybridMultilevel"/>
    <w:tmpl w:val="8DD0E240"/>
    <w:lvl w:ilvl="0" w:tplc="EB001F3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70A4239A"/>
    <w:multiLevelType w:val="multilevel"/>
    <w:tmpl w:val="FE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2239D"/>
    <w:multiLevelType w:val="multilevel"/>
    <w:tmpl w:val="D8B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68E3"/>
    <w:multiLevelType w:val="multilevel"/>
    <w:tmpl w:val="497C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967AA"/>
    <w:multiLevelType w:val="hybridMultilevel"/>
    <w:tmpl w:val="3A5A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
  </w:num>
  <w:num w:numId="5">
    <w:abstractNumId w:val="17"/>
  </w:num>
  <w:num w:numId="6">
    <w:abstractNumId w:val="0"/>
  </w:num>
  <w:num w:numId="7">
    <w:abstractNumId w:val="19"/>
  </w:num>
  <w:num w:numId="8">
    <w:abstractNumId w:val="6"/>
  </w:num>
  <w:num w:numId="9">
    <w:abstractNumId w:val="4"/>
  </w:num>
  <w:num w:numId="10">
    <w:abstractNumId w:val="9"/>
  </w:num>
  <w:num w:numId="11">
    <w:abstractNumId w:val="15"/>
  </w:num>
  <w:num w:numId="12">
    <w:abstractNumId w:val="14"/>
  </w:num>
  <w:num w:numId="13">
    <w:abstractNumId w:val="8"/>
  </w:num>
  <w:num w:numId="14">
    <w:abstractNumId w:val="18"/>
  </w:num>
  <w:num w:numId="15">
    <w:abstractNumId w:val="12"/>
  </w:num>
  <w:num w:numId="16">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5"/>
  </w:num>
  <w:num w:numId="19">
    <w:abstractNumId w:val="10"/>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0D"/>
    <w:rsid w:val="009F631F"/>
    <w:rsid w:val="00AE65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650D"/>
  </w:style>
  <w:style w:type="paragraph" w:styleId="TOC2">
    <w:name w:val="toc 2"/>
    <w:basedOn w:val="Normal"/>
    <w:next w:val="Normal"/>
    <w:autoRedefine/>
    <w:uiPriority w:val="39"/>
    <w:semiHidden/>
    <w:unhideWhenUsed/>
    <w:qFormat/>
    <w:rsid w:val="00AE650D"/>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AE650D"/>
    <w:rPr>
      <w:b/>
      <w:bCs/>
    </w:rPr>
  </w:style>
  <w:style w:type="paragraph" w:styleId="Header">
    <w:name w:val="header"/>
    <w:basedOn w:val="Normal"/>
    <w:link w:val="HeaderChar"/>
    <w:uiPriority w:val="99"/>
    <w:unhideWhenUsed/>
    <w:rsid w:val="00AE650D"/>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E650D"/>
    <w:rPr>
      <w:rFonts w:eastAsiaTheme="minorHAnsi"/>
      <w:lang w:eastAsia="en-US"/>
    </w:rPr>
  </w:style>
  <w:style w:type="paragraph" w:styleId="Footer">
    <w:name w:val="footer"/>
    <w:basedOn w:val="Normal"/>
    <w:link w:val="FooterChar"/>
    <w:uiPriority w:val="99"/>
    <w:unhideWhenUsed/>
    <w:rsid w:val="00AE650D"/>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E650D"/>
    <w:rPr>
      <w:rFonts w:eastAsiaTheme="minorHAnsi"/>
      <w:lang w:eastAsia="en-US"/>
    </w:rPr>
  </w:style>
  <w:style w:type="paragraph" w:styleId="BalloonText">
    <w:name w:val="Balloon Text"/>
    <w:basedOn w:val="Normal"/>
    <w:link w:val="BalloonTextChar"/>
    <w:uiPriority w:val="99"/>
    <w:semiHidden/>
    <w:unhideWhenUsed/>
    <w:rsid w:val="00AE650D"/>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E650D"/>
    <w:rPr>
      <w:rFonts w:ascii="Tahoma" w:eastAsia="Calibri" w:hAnsi="Tahoma" w:cs="Tahoma"/>
      <w:sz w:val="16"/>
      <w:szCs w:val="16"/>
      <w:lang w:eastAsia="en-US"/>
    </w:rPr>
  </w:style>
  <w:style w:type="character" w:styleId="Hyperlink">
    <w:name w:val="Hyperlink"/>
    <w:basedOn w:val="DefaultParagraphFont"/>
    <w:uiPriority w:val="99"/>
    <w:unhideWhenUsed/>
    <w:rsid w:val="00AE650D"/>
    <w:rPr>
      <w:color w:val="0000FF" w:themeColor="hyperlink"/>
      <w:u w:val="single"/>
    </w:rPr>
  </w:style>
  <w:style w:type="table" w:styleId="TableGrid">
    <w:name w:val="Table Grid"/>
    <w:basedOn w:val="TableNormal"/>
    <w:uiPriority w:val="59"/>
    <w:rsid w:val="00AE65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650D"/>
  </w:style>
  <w:style w:type="paragraph" w:styleId="TOC2">
    <w:name w:val="toc 2"/>
    <w:basedOn w:val="Normal"/>
    <w:next w:val="Normal"/>
    <w:autoRedefine/>
    <w:uiPriority w:val="39"/>
    <w:semiHidden/>
    <w:unhideWhenUsed/>
    <w:qFormat/>
    <w:rsid w:val="00AE650D"/>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AE650D"/>
    <w:rPr>
      <w:b/>
      <w:bCs/>
    </w:rPr>
  </w:style>
  <w:style w:type="paragraph" w:styleId="Header">
    <w:name w:val="header"/>
    <w:basedOn w:val="Normal"/>
    <w:link w:val="HeaderChar"/>
    <w:uiPriority w:val="99"/>
    <w:unhideWhenUsed/>
    <w:rsid w:val="00AE650D"/>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E650D"/>
    <w:rPr>
      <w:rFonts w:eastAsiaTheme="minorHAnsi"/>
      <w:lang w:eastAsia="en-US"/>
    </w:rPr>
  </w:style>
  <w:style w:type="paragraph" w:styleId="Footer">
    <w:name w:val="footer"/>
    <w:basedOn w:val="Normal"/>
    <w:link w:val="FooterChar"/>
    <w:uiPriority w:val="99"/>
    <w:unhideWhenUsed/>
    <w:rsid w:val="00AE650D"/>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E650D"/>
    <w:rPr>
      <w:rFonts w:eastAsiaTheme="minorHAnsi"/>
      <w:lang w:eastAsia="en-US"/>
    </w:rPr>
  </w:style>
  <w:style w:type="paragraph" w:styleId="BalloonText">
    <w:name w:val="Balloon Text"/>
    <w:basedOn w:val="Normal"/>
    <w:link w:val="BalloonTextChar"/>
    <w:uiPriority w:val="99"/>
    <w:semiHidden/>
    <w:unhideWhenUsed/>
    <w:rsid w:val="00AE650D"/>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E650D"/>
    <w:rPr>
      <w:rFonts w:ascii="Tahoma" w:eastAsia="Calibri" w:hAnsi="Tahoma" w:cs="Tahoma"/>
      <w:sz w:val="16"/>
      <w:szCs w:val="16"/>
      <w:lang w:eastAsia="en-US"/>
    </w:rPr>
  </w:style>
  <w:style w:type="character" w:styleId="Hyperlink">
    <w:name w:val="Hyperlink"/>
    <w:basedOn w:val="DefaultParagraphFont"/>
    <w:uiPriority w:val="99"/>
    <w:unhideWhenUsed/>
    <w:rsid w:val="00AE650D"/>
    <w:rPr>
      <w:color w:val="0000FF" w:themeColor="hyperlink"/>
      <w:u w:val="single"/>
    </w:rPr>
  </w:style>
  <w:style w:type="table" w:styleId="TableGrid">
    <w:name w:val="Table Grid"/>
    <w:basedOn w:val="TableNormal"/>
    <w:uiPriority w:val="59"/>
    <w:rsid w:val="00AE65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oha/amh/pages/cmh-program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Office Word</Application>
  <DocSecurity>0</DocSecurity>
  <Lines>19</Lines>
  <Paragraphs>5</Paragraphs>
  <ScaleCrop>false</ScaleCrop>
  <Company>Western Oregon University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2013-10-21T19:47:00Z</dcterms:created>
  <dcterms:modified xsi:type="dcterms:W3CDTF">2013-10-21T19:48:00Z</dcterms:modified>
</cp:coreProperties>
</file>