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FC" w:rsidRPr="00783BFC" w:rsidRDefault="00783BFC" w:rsidP="00783BFC">
      <w:pPr>
        <w:jc w:val="center"/>
        <w:rPr>
          <w:rFonts w:ascii="Britannic Bold" w:eastAsia="PMingLiU" w:hAnsi="Britannic Bold" w:cs="Times New Roman"/>
          <w:color w:val="7030A0"/>
          <w:sz w:val="48"/>
          <w:szCs w:val="48"/>
          <w:lang w:eastAsia="en-US" w:bidi="en-US"/>
        </w:rPr>
      </w:pPr>
      <w:r w:rsidRPr="00783BFC">
        <w:rPr>
          <w:rFonts w:ascii="Britannic Bold" w:eastAsia="PMingLiU" w:hAnsi="Britannic Bold" w:cs="Times New Roman"/>
          <w:noProof/>
          <w:color w:val="7030A0"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64EE4986" wp14:editId="248774F2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877570" cy="685800"/>
            <wp:effectExtent l="0" t="0" r="0" b="0"/>
            <wp:wrapNone/>
            <wp:docPr id="71" name="Picture 71" descr="tc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n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FC" w:rsidRPr="00783BFC" w:rsidRDefault="00783BFC" w:rsidP="00783BFC">
      <w:pPr>
        <w:jc w:val="center"/>
        <w:rPr>
          <w:rFonts w:ascii="Britannic Bold" w:eastAsia="PMingLiU" w:hAnsi="Britannic Bold" w:cs="Times New Roman"/>
          <w:color w:val="7030A0"/>
          <w:sz w:val="48"/>
          <w:szCs w:val="48"/>
          <w:lang w:eastAsia="en-US" w:bidi="en-US"/>
        </w:rPr>
      </w:pPr>
      <w:r w:rsidRPr="00783BFC">
        <w:rPr>
          <w:rFonts w:ascii="Britannic Bold" w:eastAsia="PMingLiU" w:hAnsi="Britannic Bold" w:cs="Times New Roman"/>
          <w:color w:val="7030A0"/>
          <w:sz w:val="48"/>
          <w:szCs w:val="48"/>
          <w:lang w:eastAsia="en-US" w:bidi="en-US"/>
        </w:rPr>
        <w:t xml:space="preserve">Transition Community Network </w:t>
      </w:r>
    </w:p>
    <w:p w:rsidR="00783BFC" w:rsidRPr="00783BFC" w:rsidRDefault="00783BFC" w:rsidP="00783BFC">
      <w:pPr>
        <w:jc w:val="center"/>
        <w:rPr>
          <w:rFonts w:ascii="Britannic Bold" w:eastAsia="PMingLiU" w:hAnsi="Britannic Bold" w:cs="Times New Roman"/>
          <w:color w:val="7030A0"/>
          <w:sz w:val="48"/>
          <w:szCs w:val="48"/>
          <w:lang w:eastAsia="en-US" w:bidi="en-US"/>
        </w:rPr>
      </w:pPr>
    </w:p>
    <w:p w:rsidR="00783BFC" w:rsidRPr="00783BFC" w:rsidRDefault="00783BFC" w:rsidP="00783BFC">
      <w:pPr>
        <w:spacing w:after="240"/>
        <w:rPr>
          <w:rFonts w:ascii="Arial" w:eastAsia="PMingLiU" w:hAnsi="Arial" w:cs="Arial"/>
          <w:color w:val="808080" w:themeColor="background1" w:themeShade="80"/>
          <w:sz w:val="24"/>
          <w:szCs w:val="24"/>
          <w:lang w:eastAsia="en-US" w:bidi="en-US"/>
        </w:rPr>
      </w:pPr>
      <w:r w:rsidRPr="00783BFC">
        <w:rPr>
          <w:rFonts w:ascii="Calibri" w:eastAsia="PMingLiU" w:hAnsi="Calibri" w:cs="Arial"/>
          <w:b/>
          <w:bCs/>
          <w:i/>
          <w:iCs/>
          <w:noProof/>
          <w:color w:val="00B050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B9E2487" wp14:editId="7CEC4D38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770505" cy="1636395"/>
            <wp:effectExtent l="0" t="0" r="0" b="0"/>
            <wp:wrapSquare wrapText="bothSides"/>
            <wp:docPr id="72" name="irc_mi" descr="https://encrypted-tbn2.gstatic.com/images?q=tbn:ANd9GcRGlttYpwBiG1wAunCQkvKbJnAPt-1cvkx9IUUaard4igUHvd2F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GlttYpwBiG1wAunCQkvKbJnAPt-1cvkx9IUUaard4igUHvd2F1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BFC">
        <w:rPr>
          <w:rFonts w:ascii="Arial" w:eastAsia="PMingLiU" w:hAnsi="Arial" w:cs="Arial"/>
          <w:b/>
          <w:bCs/>
          <w:i/>
          <w:iCs/>
          <w:color w:val="00B050"/>
          <w:sz w:val="24"/>
          <w:szCs w:val="24"/>
          <w:lang w:eastAsia="en-US" w:bidi="en-US"/>
        </w:rPr>
        <w:t xml:space="preserve">Teachers </w:t>
      </w:r>
      <w:r w:rsidRPr="00783BFC">
        <w:rPr>
          <w:rFonts w:ascii="Arial" w:eastAsia="PMingLiU" w:hAnsi="Arial" w:cs="Arial"/>
          <w:color w:val="808080" w:themeColor="background1" w:themeShade="80"/>
          <w:sz w:val="24"/>
          <w:szCs w:val="24"/>
          <w:lang w:eastAsia="en-US" w:bidi="en-US"/>
        </w:rPr>
        <w:t>(sample)</w:t>
      </w:r>
    </w:p>
    <w:p w:rsidR="00783BFC" w:rsidRPr="00783BFC" w:rsidRDefault="00783BFC" w:rsidP="00783BFC">
      <w:pPr>
        <w:spacing w:after="240"/>
        <w:rPr>
          <w:rFonts w:ascii="Arial" w:eastAsia="PMingLiU" w:hAnsi="Arial" w:cs="Arial"/>
          <w:lang w:eastAsia="en-US" w:bidi="en-US"/>
        </w:rPr>
      </w:pPr>
      <w:r w:rsidRPr="00783BFC">
        <w:rPr>
          <w:rFonts w:ascii="Arial" w:eastAsia="PMingLiU" w:hAnsi="Arial" w:cs="Arial"/>
          <w:b/>
          <w:bCs/>
          <w:lang w:eastAsia="en-US" w:bidi="en-US"/>
        </w:rPr>
        <w:t>Inclusion Resources</w:t>
      </w:r>
      <w:r w:rsidRPr="00783BFC">
        <w:rPr>
          <w:rFonts w:ascii="Arial" w:eastAsia="PMingLiU" w:hAnsi="Arial" w:cs="Arial"/>
          <w:lang w:eastAsia="en-US" w:bidi="en-US"/>
        </w:rPr>
        <w:t xml:space="preserve"> for teachers include instructing student with High-incidence disabilities in the general education classroom, inclusion of students with low-incidence disabilities, and curriculum adaptions</w:t>
      </w:r>
    </w:p>
    <w:p w:rsidR="00783BFC" w:rsidRPr="00783BFC" w:rsidRDefault="00783BFC" w:rsidP="00783BFC">
      <w:pPr>
        <w:rPr>
          <w:rFonts w:ascii="Arial" w:eastAsia="PMingLiU" w:hAnsi="Arial" w:cs="Arial"/>
          <w:lang w:eastAsia="en-US" w:bidi="en-US"/>
        </w:rPr>
      </w:pPr>
      <w:r w:rsidRPr="00783BFC">
        <w:rPr>
          <w:rFonts w:ascii="Arial" w:eastAsia="PMingLiU" w:hAnsi="Arial" w:cs="Arial"/>
          <w:b/>
          <w:bCs/>
          <w:lang w:eastAsia="en-US" w:bidi="en-US"/>
        </w:rPr>
        <w:t xml:space="preserve">OARs </w:t>
      </w:r>
      <w:r w:rsidRPr="00783BFC">
        <w:rPr>
          <w:rFonts w:ascii="Arial" w:eastAsia="PMingLiU" w:hAnsi="Arial" w:cs="Arial"/>
          <w:lang w:eastAsia="en-US" w:bidi="en-US"/>
        </w:rPr>
        <w:t>included are a list of the Oregon publications about special education policy and laws, and OARs new in June 2013 are also included</w:t>
      </w:r>
    </w:p>
    <w:p w:rsidR="00783BFC" w:rsidRPr="00783BFC" w:rsidRDefault="00783BFC" w:rsidP="00783BFC">
      <w:pPr>
        <w:rPr>
          <w:rFonts w:ascii="Arial" w:eastAsia="PMingLiU" w:hAnsi="Arial" w:cs="Arial"/>
          <w:lang w:eastAsia="en-US" w:bidi="en-US"/>
        </w:rPr>
      </w:pPr>
      <w:r w:rsidRPr="00783BFC">
        <w:rPr>
          <w:rFonts w:ascii="Arial" w:eastAsia="PMingLiU" w:hAnsi="Arial" w:cs="Arial"/>
          <w:b/>
          <w:bCs/>
          <w:lang w:eastAsia="en-US" w:bidi="en-US"/>
        </w:rPr>
        <w:t>IEP resources</w:t>
      </w:r>
      <w:r w:rsidRPr="00783BFC">
        <w:rPr>
          <w:rFonts w:ascii="Arial" w:eastAsia="PMingLiU" w:hAnsi="Arial" w:cs="Arial"/>
          <w:lang w:eastAsia="en-US" w:bidi="en-US"/>
        </w:rPr>
        <w:t xml:space="preserve"> include Transition IEP, Oregon Standard IEP, and understanding the transition IEP process</w:t>
      </w:r>
    </w:p>
    <w:p w:rsidR="00783BFC" w:rsidRPr="00783BFC" w:rsidRDefault="00783BFC" w:rsidP="00783BFC">
      <w:pPr>
        <w:rPr>
          <w:rFonts w:ascii="Arial" w:eastAsia="PMingLiU" w:hAnsi="Arial" w:cs="Arial"/>
          <w:lang w:eastAsia="en-US" w:bidi="en-US"/>
        </w:rPr>
      </w:pPr>
      <w:r w:rsidRPr="00783BFC">
        <w:rPr>
          <w:rFonts w:ascii="Arial" w:eastAsia="PMingLiU" w:hAnsi="Arial" w:cs="Arial"/>
          <w:b/>
          <w:bCs/>
          <w:lang w:eastAsia="en-US" w:bidi="en-US"/>
        </w:rPr>
        <w:t xml:space="preserve">Directory of Services </w:t>
      </w:r>
      <w:r w:rsidRPr="00783BFC">
        <w:rPr>
          <w:rFonts w:ascii="Arial" w:eastAsia="PMingLiU" w:hAnsi="Arial" w:cs="Arial"/>
          <w:lang w:eastAsia="en-US" w:bidi="en-US"/>
        </w:rPr>
        <w:t>includes a list of contacts for VR and DD; it also includes links for SNAP, ARC, PCL, Oregon Health plan, and SSI</w:t>
      </w:r>
    </w:p>
    <w:p w:rsidR="00783BFC" w:rsidRPr="00783BFC" w:rsidRDefault="00783BFC" w:rsidP="00783BFC">
      <w:pPr>
        <w:rPr>
          <w:rFonts w:ascii="Arial" w:eastAsia="PMingLiU" w:hAnsi="Arial" w:cs="Arial"/>
          <w:b/>
          <w:bCs/>
          <w:lang w:eastAsia="en-US" w:bidi="en-US"/>
        </w:rPr>
      </w:pPr>
      <w:r w:rsidRPr="00783BFC">
        <w:rPr>
          <w:rFonts w:ascii="Calibri" w:eastAsia="PMingLiU" w:hAnsi="Calibri" w:cs="Arial"/>
          <w:noProof/>
        </w:rPr>
        <w:drawing>
          <wp:anchor distT="0" distB="0" distL="114300" distR="114300" simplePos="0" relativeHeight="251682816" behindDoc="0" locked="0" layoutInCell="1" allowOverlap="1" wp14:anchorId="105B590E" wp14:editId="1B741D5E">
            <wp:simplePos x="0" y="0"/>
            <wp:positionH relativeFrom="column">
              <wp:posOffset>3914775</wp:posOffset>
            </wp:positionH>
            <wp:positionV relativeFrom="paragraph">
              <wp:posOffset>44450</wp:posOffset>
            </wp:positionV>
            <wp:extent cx="2486660" cy="2486660"/>
            <wp:effectExtent l="0" t="0" r="0" b="0"/>
            <wp:wrapSquare wrapText="bothSides"/>
            <wp:docPr id="73" name="Picture 73" descr="College Teacher  helping students with computer 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 Teacher  helping students with computer work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BFC">
        <w:rPr>
          <w:rFonts w:ascii="Arial" w:eastAsia="PMingLiU" w:hAnsi="Arial" w:cs="Arial"/>
          <w:b/>
          <w:bCs/>
          <w:lang w:eastAsia="en-US" w:bidi="en-US"/>
        </w:rPr>
        <w:t xml:space="preserve">Effective Practices </w:t>
      </w:r>
      <w:r w:rsidRPr="00783BFC">
        <w:rPr>
          <w:rFonts w:ascii="Arial" w:eastAsia="PMingLiU" w:hAnsi="Arial" w:cs="Arial"/>
          <w:lang w:eastAsia="en-US" w:bidi="en-US"/>
        </w:rPr>
        <w:t>is organized by skill being taught</w:t>
      </w:r>
    </w:p>
    <w:p w:rsidR="00783BFC" w:rsidRPr="00783BFC" w:rsidRDefault="00783BFC" w:rsidP="00783BFC">
      <w:pPr>
        <w:rPr>
          <w:rFonts w:ascii="Arial" w:eastAsia="PMingLiU" w:hAnsi="Arial" w:cs="Arial"/>
          <w:lang w:eastAsia="en-US" w:bidi="en-US"/>
        </w:rPr>
      </w:pPr>
      <w:r w:rsidRPr="00783BFC">
        <w:rPr>
          <w:rFonts w:ascii="Arial" w:eastAsia="PMingLiU" w:hAnsi="Arial" w:cs="Arial"/>
          <w:b/>
          <w:bCs/>
          <w:lang w:eastAsia="en-US" w:bidi="en-US"/>
        </w:rPr>
        <w:t xml:space="preserve">Oregon Department of Education special education information </w:t>
      </w:r>
      <w:r w:rsidRPr="00783BFC">
        <w:rPr>
          <w:rFonts w:ascii="Arial" w:eastAsia="PMingLiU" w:hAnsi="Arial" w:cs="Arial"/>
          <w:lang w:eastAsia="en-US" w:bidi="en-US"/>
        </w:rPr>
        <w:t>includes links to</w:t>
      </w:r>
      <w:r w:rsidRPr="00783BFC">
        <w:rPr>
          <w:rFonts w:ascii="Arial" w:eastAsia="PMingLiU" w:hAnsi="Arial" w:cs="Arial"/>
          <w:b/>
          <w:bCs/>
          <w:lang w:eastAsia="en-US" w:bidi="en-US"/>
        </w:rPr>
        <w:t xml:space="preserve"> </w:t>
      </w:r>
      <w:r w:rsidRPr="00783BFC">
        <w:rPr>
          <w:rFonts w:ascii="Arial" w:eastAsia="PMingLiU" w:hAnsi="Arial" w:cs="Arial"/>
          <w:lang w:eastAsia="en-US" w:bidi="en-US"/>
        </w:rPr>
        <w:t xml:space="preserve">diploma options, essential skills, extended assessment, indicator 13, and staff lookup, </w:t>
      </w:r>
    </w:p>
    <w:p w:rsidR="00783BFC" w:rsidRPr="00783BFC" w:rsidRDefault="00783BFC" w:rsidP="00783BFC">
      <w:pPr>
        <w:rPr>
          <w:rFonts w:ascii="Arial" w:eastAsia="PMingLiU" w:hAnsi="Arial" w:cs="Arial"/>
          <w:lang w:eastAsia="en-US" w:bidi="en-US"/>
        </w:rPr>
      </w:pPr>
      <w:r w:rsidRPr="00783BFC">
        <w:rPr>
          <w:rFonts w:ascii="Arial" w:eastAsia="PMingLiU" w:hAnsi="Arial" w:cs="Arial"/>
          <w:b/>
          <w:bCs/>
          <w:lang w:eastAsia="en-US" w:bidi="en-US"/>
        </w:rPr>
        <w:t xml:space="preserve">Helping your student plan for adult life </w:t>
      </w:r>
      <w:r w:rsidRPr="00783BFC">
        <w:rPr>
          <w:rFonts w:ascii="Arial" w:eastAsia="PMingLiU" w:hAnsi="Arial" w:cs="Arial"/>
          <w:lang w:eastAsia="en-US" w:bidi="en-US"/>
        </w:rPr>
        <w:t xml:space="preserve">through links to websites such as College planning, independent living connections, how to set goals, effective study strategies, planning for a job, getting a driver’s license, job corps, military.com, job accommodation network, and many others </w:t>
      </w:r>
    </w:p>
    <w:p w:rsidR="00783BFC" w:rsidRPr="00783BFC" w:rsidRDefault="00783BFC" w:rsidP="00783BFC">
      <w:pPr>
        <w:jc w:val="right"/>
        <w:rPr>
          <w:rFonts w:ascii="Arial" w:eastAsia="PMingLiU" w:hAnsi="Arial" w:cs="Arial"/>
          <w:color w:val="7030A0"/>
          <w:lang w:eastAsia="en-US" w:bidi="en-US"/>
        </w:rPr>
      </w:pPr>
    </w:p>
    <w:p w:rsidR="00783BFC" w:rsidRPr="00783BFC" w:rsidRDefault="00783BFC" w:rsidP="00783BFC">
      <w:pPr>
        <w:rPr>
          <w:rFonts w:ascii="Arial" w:eastAsia="PMingLiU" w:hAnsi="Arial" w:cs="Arial"/>
          <w:color w:val="7030A0"/>
          <w:lang w:eastAsia="en-US" w:bidi="en-US"/>
        </w:rPr>
      </w:pPr>
    </w:p>
    <w:p w:rsidR="00783BFC" w:rsidRPr="00783BFC" w:rsidRDefault="00783BFC" w:rsidP="00783BFC">
      <w:pPr>
        <w:rPr>
          <w:rFonts w:ascii="Arial" w:eastAsia="PMingLiU" w:hAnsi="Arial" w:cs="Arial"/>
          <w:color w:val="7030A0"/>
          <w:lang w:eastAsia="en-US" w:bidi="en-US"/>
        </w:rPr>
      </w:pPr>
    </w:p>
    <w:p w:rsidR="00783BFC" w:rsidRPr="00783BFC" w:rsidRDefault="00783BFC" w:rsidP="00783BFC">
      <w:pPr>
        <w:rPr>
          <w:rFonts w:ascii="Arial" w:eastAsia="PMingLiU" w:hAnsi="Arial" w:cs="Arial"/>
          <w:color w:val="7030A0"/>
          <w:lang w:eastAsia="en-US" w:bidi="en-US"/>
        </w:rPr>
      </w:pPr>
    </w:p>
    <w:p w:rsidR="00783BFC" w:rsidRPr="00783BFC" w:rsidRDefault="00783BFC" w:rsidP="00783BFC">
      <w:pPr>
        <w:rPr>
          <w:rFonts w:ascii="Arial" w:eastAsia="PMingLiU" w:hAnsi="Arial" w:cs="Arial"/>
          <w:color w:val="7030A0"/>
          <w:lang w:eastAsia="en-US" w:bidi="en-US"/>
        </w:rPr>
      </w:pPr>
    </w:p>
    <w:p w:rsidR="00783BFC" w:rsidRPr="00783BFC" w:rsidRDefault="00783BFC" w:rsidP="00783BFC">
      <w:pPr>
        <w:rPr>
          <w:rFonts w:ascii="Arial" w:eastAsia="PMingLiU" w:hAnsi="Arial" w:cs="Arial"/>
          <w:color w:val="7030A0"/>
          <w:lang w:eastAsia="en-US" w:bidi="en-US"/>
        </w:rPr>
      </w:pPr>
    </w:p>
    <w:p w:rsidR="00783BFC" w:rsidRPr="00783BFC" w:rsidRDefault="00783BFC" w:rsidP="00783BFC">
      <w:pPr>
        <w:rPr>
          <w:rFonts w:ascii="Calibri" w:eastAsia="PMingLiU" w:hAnsi="Calibri" w:cs="Arial"/>
          <w:sz w:val="28"/>
          <w:szCs w:val="28"/>
          <w:lang w:eastAsia="en-US" w:bidi="en-US"/>
        </w:rPr>
      </w:pPr>
      <w:r w:rsidRPr="00783BFC">
        <w:rPr>
          <w:rFonts w:ascii="Calibri" w:eastAsia="PMingLiU" w:hAnsi="Calibri" w:cs="Arial"/>
          <w:sz w:val="28"/>
          <w:szCs w:val="28"/>
          <w:lang w:eastAsia="en-US" w:bidi="en-US"/>
        </w:rPr>
        <w:t xml:space="preserve">     A new website </w:t>
      </w:r>
      <w:hyperlink r:id="rId12" w:history="1">
        <w:r w:rsidRPr="00783BFC">
          <w:rPr>
            <w:rFonts w:ascii="Calibri" w:eastAsia="PMingLiU" w:hAnsi="Calibri" w:cs="Arial"/>
            <w:color w:val="0000FF" w:themeColor="hyperlink"/>
            <w:sz w:val="28"/>
            <w:szCs w:val="28"/>
            <w:u w:val="single"/>
            <w:lang w:eastAsia="en-US" w:bidi="en-US"/>
          </w:rPr>
          <w:t>www.tcntransition.org</w:t>
        </w:r>
      </w:hyperlink>
      <w:r w:rsidRPr="00783BFC">
        <w:rPr>
          <w:rFonts w:ascii="Calibri" w:eastAsia="PMingLiU" w:hAnsi="Calibri" w:cs="Arial"/>
          <w:sz w:val="28"/>
          <w:szCs w:val="28"/>
          <w:lang w:eastAsia="en-US" w:bidi="en-US"/>
        </w:rPr>
        <w:t xml:space="preserve">   will open September 30, 2013</w:t>
      </w:r>
    </w:p>
    <w:p w:rsidR="00783BFC" w:rsidRPr="00783BFC" w:rsidRDefault="00783BFC" w:rsidP="00783BFC">
      <w:pPr>
        <w:rPr>
          <w:rFonts w:ascii="Calibri" w:eastAsia="PMingLiU" w:hAnsi="Calibri" w:cs="Arial"/>
          <w:lang w:eastAsia="en-US" w:bidi="en-US"/>
        </w:rPr>
      </w:pPr>
      <w:bookmarkStart w:id="0" w:name="_GoBack"/>
      <w:bookmarkEnd w:id="0"/>
    </w:p>
    <w:sectPr w:rsidR="00783BFC" w:rsidRPr="00783BFC" w:rsidSect="00E6135F">
      <w:footerReference w:type="default" r:id="rId13"/>
      <w:type w:val="continuous"/>
      <w:pgSz w:w="12240" w:h="15840" w:code="1"/>
      <w:pgMar w:top="634" w:right="864" w:bottom="1008" w:left="1296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FC" w:rsidRDefault="00783BFC" w:rsidP="00783BFC">
      <w:pPr>
        <w:spacing w:after="0" w:line="240" w:lineRule="auto"/>
      </w:pPr>
      <w:r>
        <w:separator/>
      </w:r>
    </w:p>
  </w:endnote>
  <w:endnote w:type="continuationSeparator" w:id="0">
    <w:p w:rsidR="00783BFC" w:rsidRDefault="00783BFC" w:rsidP="0078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6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BFC" w:rsidRDefault="00783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BFC" w:rsidRDefault="0078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FC" w:rsidRDefault="00783BFC" w:rsidP="00783BFC">
      <w:pPr>
        <w:spacing w:after="0" w:line="240" w:lineRule="auto"/>
      </w:pPr>
      <w:r>
        <w:separator/>
      </w:r>
    </w:p>
  </w:footnote>
  <w:footnote w:type="continuationSeparator" w:id="0">
    <w:p w:rsidR="00783BFC" w:rsidRDefault="00783BFC" w:rsidP="0078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FC"/>
    <w:rsid w:val="00783BFC"/>
    <w:rsid w:val="009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3BFC"/>
  </w:style>
  <w:style w:type="paragraph" w:styleId="TOC2">
    <w:name w:val="toc 2"/>
    <w:basedOn w:val="Normal"/>
    <w:next w:val="Normal"/>
    <w:autoRedefine/>
    <w:uiPriority w:val="39"/>
    <w:unhideWhenUsed/>
    <w:qFormat/>
    <w:rsid w:val="00783BFC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FC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FC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83BFC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783BFC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83BFC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783BFC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783B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783B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83BF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783B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BFC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783BF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BFC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783BFC"/>
  </w:style>
  <w:style w:type="paragraph" w:styleId="PlainText">
    <w:name w:val="Plain Text"/>
    <w:basedOn w:val="Normal"/>
    <w:link w:val="PlainTextChar"/>
    <w:uiPriority w:val="99"/>
    <w:unhideWhenUsed/>
    <w:rsid w:val="00783BF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3BFC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783BFC"/>
    <w:rPr>
      <w:i/>
      <w:iCs/>
    </w:rPr>
  </w:style>
  <w:style w:type="paragraph" w:customStyle="1" w:styleId="default">
    <w:name w:val="default"/>
    <w:basedOn w:val="Normal"/>
    <w:uiPriority w:val="99"/>
    <w:rsid w:val="00783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83BFC"/>
  </w:style>
  <w:style w:type="character" w:customStyle="1" w:styleId="apple-converted-space">
    <w:name w:val="apple-converted-space"/>
    <w:basedOn w:val="DefaultParagraphFont"/>
    <w:rsid w:val="00783BFC"/>
  </w:style>
  <w:style w:type="paragraph" w:customStyle="1" w:styleId="Default0">
    <w:name w:val="Default"/>
    <w:rsid w:val="00783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783BFC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783BFC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783BF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FC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FC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F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83BFC"/>
  </w:style>
  <w:style w:type="paragraph" w:styleId="TOC2">
    <w:name w:val="toc 2"/>
    <w:basedOn w:val="Normal"/>
    <w:next w:val="Normal"/>
    <w:autoRedefine/>
    <w:uiPriority w:val="39"/>
    <w:unhideWhenUsed/>
    <w:qFormat/>
    <w:rsid w:val="00783BFC"/>
    <w:pPr>
      <w:spacing w:after="100" w:line="240" w:lineRule="auto"/>
    </w:pPr>
    <w:rPr>
      <w:rFonts w:ascii="Calibri" w:eastAsia="PMingLiU" w:hAnsi="Calibri" w:cs="Arial"/>
      <w:sz w:val="28"/>
      <w:szCs w:val="28"/>
      <w:lang w:eastAsia="ja-JP" w:bidi="en-US"/>
    </w:rPr>
  </w:style>
  <w:style w:type="table" w:styleId="TableGrid">
    <w:name w:val="Table Grid"/>
    <w:basedOn w:val="TableNormal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FC"/>
    <w:pPr>
      <w:spacing w:after="0" w:line="240" w:lineRule="auto"/>
    </w:pPr>
    <w:rPr>
      <w:rFonts w:ascii="Tahoma" w:eastAsia="PMingLiU" w:hAnsi="Tahoma" w:cs="Tahoma"/>
      <w:sz w:val="16"/>
      <w:szCs w:val="16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FC"/>
    <w:rPr>
      <w:rFonts w:ascii="Tahoma" w:eastAsia="PMingLiU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83BFC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783BFC"/>
    <w:rPr>
      <w:rFonts w:ascii="Calibri" w:eastAsia="PMingLiU" w:hAnsi="Calibri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83BFC"/>
    <w:pPr>
      <w:tabs>
        <w:tab w:val="center" w:pos="4680"/>
        <w:tab w:val="right" w:pos="9360"/>
      </w:tabs>
      <w:spacing w:after="0" w:line="240" w:lineRule="auto"/>
    </w:pPr>
    <w:rPr>
      <w:rFonts w:ascii="Calibri" w:eastAsia="PMingLiU" w:hAnsi="Calibri" w:cs="Arial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783BFC"/>
    <w:rPr>
      <w:rFonts w:ascii="Calibri" w:eastAsia="PMingLiU" w:hAnsi="Calibri" w:cs="Arial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783BF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783BF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83BF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783B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BFC"/>
    <w:pPr>
      <w:ind w:left="720"/>
      <w:contextualSpacing/>
    </w:pPr>
    <w:rPr>
      <w:rFonts w:ascii="Calibri" w:eastAsia="PMingLiU" w:hAnsi="Calibri" w:cs="Arial"/>
      <w:lang w:eastAsia="en-US" w:bidi="en-US"/>
    </w:rPr>
  </w:style>
  <w:style w:type="table" w:customStyle="1" w:styleId="TableGrid1">
    <w:name w:val="Table Grid1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783BF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BFC"/>
    <w:pPr>
      <w:spacing w:after="0" w:line="240" w:lineRule="auto"/>
    </w:pPr>
    <w:rPr>
      <w:rFonts w:eastAsiaTheme="minorHAnsi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783BFC"/>
  </w:style>
  <w:style w:type="paragraph" w:styleId="PlainText">
    <w:name w:val="Plain Text"/>
    <w:basedOn w:val="Normal"/>
    <w:link w:val="PlainTextChar"/>
    <w:uiPriority w:val="99"/>
    <w:unhideWhenUsed/>
    <w:rsid w:val="00783BF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3BFC"/>
    <w:rPr>
      <w:rFonts w:ascii="Consolas" w:eastAsia="Times New Roman" w:hAnsi="Consolas" w:cs="Times New Roman"/>
      <w:sz w:val="21"/>
      <w:szCs w:val="21"/>
      <w:lang w:eastAsia="en-US"/>
    </w:rPr>
  </w:style>
  <w:style w:type="character" w:styleId="Emphasis">
    <w:name w:val="Emphasis"/>
    <w:uiPriority w:val="20"/>
    <w:qFormat/>
    <w:rsid w:val="00783BFC"/>
    <w:rPr>
      <w:i/>
      <w:iCs/>
    </w:rPr>
  </w:style>
  <w:style w:type="paragraph" w:customStyle="1" w:styleId="default">
    <w:name w:val="default"/>
    <w:basedOn w:val="Normal"/>
    <w:uiPriority w:val="99"/>
    <w:rsid w:val="00783B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83BFC"/>
  </w:style>
  <w:style w:type="character" w:customStyle="1" w:styleId="apple-converted-space">
    <w:name w:val="apple-converted-space"/>
    <w:basedOn w:val="DefaultParagraphFont"/>
    <w:rsid w:val="00783BFC"/>
  </w:style>
  <w:style w:type="paragraph" w:customStyle="1" w:styleId="Default0">
    <w:name w:val="Default"/>
    <w:rsid w:val="00783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link w:val="BodytextChar"/>
    <w:rsid w:val="00783BFC"/>
    <w:pPr>
      <w:widowControl w:val="0"/>
      <w:autoSpaceDE w:val="0"/>
      <w:autoSpaceDN w:val="0"/>
      <w:adjustRightInd w:val="0"/>
      <w:spacing w:after="0" w:line="250" w:lineRule="atLeast"/>
    </w:pPr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customStyle="1" w:styleId="BodytextChar">
    <w:name w:val="Body text Char"/>
    <w:link w:val="BodyText1"/>
    <w:locked/>
    <w:rsid w:val="00783BFC"/>
    <w:rPr>
      <w:rFonts w:ascii="Optima" w:eastAsia="Times New Roman" w:hAnsi="Optima" w:cs="Times New Roman"/>
      <w:color w:val="000000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783BF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FC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FC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F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78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transi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F60-7933-419D-8958-2899AF4E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Western Oregon University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2013-10-21T19:32:00Z</dcterms:created>
  <dcterms:modified xsi:type="dcterms:W3CDTF">2013-10-21T19:33:00Z</dcterms:modified>
</cp:coreProperties>
</file>