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F20" w:rsidRPr="00377F20" w:rsidRDefault="00377F20" w:rsidP="00377F20">
      <w:pPr>
        <w:shd w:val="clear" w:color="auto" w:fill="FFFFFF"/>
        <w:spacing w:after="288" w:line="240" w:lineRule="auto"/>
        <w:jc w:val="center"/>
        <w:rPr>
          <w:rFonts w:ascii="Arial" w:eastAsia="Times New Roman" w:hAnsi="Arial" w:cs="Arial"/>
          <w:b/>
          <w:color w:val="000000"/>
          <w:sz w:val="28"/>
          <w:szCs w:val="18"/>
          <w:lang w:eastAsia="en-US"/>
        </w:rPr>
      </w:pPr>
      <w:r w:rsidRPr="00377F20">
        <w:rPr>
          <w:rFonts w:ascii="Arial" w:eastAsia="Times New Roman" w:hAnsi="Arial" w:cs="Arial"/>
          <w:b/>
          <w:color w:val="000000"/>
          <w:sz w:val="28"/>
          <w:szCs w:val="18"/>
          <w:lang w:eastAsia="en-US"/>
        </w:rPr>
        <w:t>AGE-APPROPRIATE TRANSITION ASSESSMENTS</w:t>
      </w:r>
    </w:p>
    <w:p w:rsidR="00377F20" w:rsidRPr="00377F20" w:rsidRDefault="00377F20" w:rsidP="00377F20">
      <w:pPr>
        <w:shd w:val="clear" w:color="auto" w:fill="FFFFFF"/>
        <w:spacing w:after="288" w:line="240" w:lineRule="auto"/>
        <w:rPr>
          <w:rFonts w:ascii="Arial" w:eastAsia="Times New Roman" w:hAnsi="Arial" w:cs="Arial"/>
          <w:color w:val="000000"/>
          <w:lang w:eastAsia="en-US"/>
        </w:rPr>
      </w:pPr>
      <w:r w:rsidRPr="00377F20">
        <w:rPr>
          <w:rFonts w:ascii="Arial" w:eastAsia="Times New Roman" w:hAnsi="Arial" w:cs="Arial"/>
          <w:color w:val="000000"/>
          <w:lang w:eastAsia="en-US"/>
        </w:rPr>
        <w:t xml:space="preserve">Age-Appropriate Transition Assessments are defined as an </w:t>
      </w:r>
    </w:p>
    <w:p w:rsidR="00377F20" w:rsidRPr="00377F20" w:rsidRDefault="00377F20" w:rsidP="00377F20">
      <w:pPr>
        <w:shd w:val="clear" w:color="auto" w:fill="FFFFFF"/>
        <w:spacing w:after="288" w:line="240" w:lineRule="auto"/>
        <w:ind w:left="720" w:right="720"/>
        <w:rPr>
          <w:rFonts w:ascii="Arial" w:eastAsia="Times New Roman" w:hAnsi="Arial" w:cs="Arial"/>
          <w:i/>
          <w:color w:val="000000"/>
          <w:lang w:eastAsia="en-US"/>
        </w:rPr>
      </w:pPr>
      <w:r w:rsidRPr="00377F20">
        <w:rPr>
          <w:rFonts w:ascii="Arial" w:eastAsia="Times New Roman" w:hAnsi="Arial" w:cs="Arial"/>
          <w:i/>
          <w:color w:val="000000"/>
          <w:lang w:eastAsia="en-US"/>
        </w:rPr>
        <w:t>“ongoing process of collecting data on the individual’s needs, preferences, and interests as they relate to the demands of current and future working, educational, living, and personal and social environments.”</w:t>
      </w:r>
      <w:r w:rsidRPr="00377F20">
        <w:rPr>
          <w:rFonts w:ascii="Arial" w:eastAsia="Times New Roman" w:hAnsi="Arial" w:cs="Arial"/>
          <w:i/>
          <w:color w:val="000000"/>
          <w:vertAlign w:val="superscript"/>
          <w:lang w:eastAsia="en-US"/>
        </w:rPr>
        <w:footnoteReference w:id="1"/>
      </w:r>
      <w:r w:rsidRPr="00377F20">
        <w:rPr>
          <w:rFonts w:ascii="Arial" w:eastAsia="Times New Roman" w:hAnsi="Arial" w:cs="Arial"/>
          <w:i/>
          <w:color w:val="000000"/>
          <w:lang w:eastAsia="en-US"/>
        </w:rPr>
        <w:t xml:space="preserve"> </w:t>
      </w:r>
    </w:p>
    <w:p w:rsidR="00377F20" w:rsidRPr="00377F20" w:rsidRDefault="00377F20" w:rsidP="00377F20">
      <w:pPr>
        <w:shd w:val="clear" w:color="auto" w:fill="FFFFFF"/>
        <w:spacing w:after="288" w:line="240" w:lineRule="auto"/>
        <w:rPr>
          <w:rFonts w:ascii="Arial" w:eastAsia="Times New Roman" w:hAnsi="Arial" w:cs="Arial"/>
          <w:color w:val="000000"/>
          <w:lang w:eastAsia="en-US"/>
        </w:rPr>
      </w:pPr>
      <w:r w:rsidRPr="00377F20">
        <w:rPr>
          <w:rFonts w:ascii="Arial" w:eastAsia="Times New Roman" w:hAnsi="Arial" w:cs="Arial"/>
          <w:color w:val="000000"/>
          <w:lang w:eastAsia="en-US"/>
        </w:rPr>
        <w:t>Assessment data serve as the common thread in the transition process and form the basis for defining goals and services to be included in the Individualized Education Program (IEP).  Federal law requires “appropriate measurable postsecondary goals based upon age appropriate transition assessments related to training, education, employment, and, where appropriate, independent living skills” (§300.320[b][1]).</w:t>
      </w:r>
    </w:p>
    <w:p w:rsidR="00377F20" w:rsidRPr="00377F20" w:rsidRDefault="00377F20" w:rsidP="00377F20">
      <w:pPr>
        <w:shd w:val="clear" w:color="auto" w:fill="FFFFFF"/>
        <w:spacing w:after="288" w:line="240" w:lineRule="auto"/>
        <w:rPr>
          <w:rFonts w:ascii="Arial" w:eastAsia="Times New Roman" w:hAnsi="Arial" w:cs="Arial"/>
          <w:color w:val="000000"/>
          <w:lang w:eastAsia="en-US"/>
        </w:rPr>
      </w:pPr>
      <w:r w:rsidRPr="00377F20">
        <w:rPr>
          <w:rFonts w:ascii="Arial" w:eastAsia="Times New Roman" w:hAnsi="Arial" w:cs="Arial"/>
          <w:color w:val="000000"/>
          <w:lang w:eastAsia="en-US"/>
        </w:rPr>
        <w:t xml:space="preserve">Transition assessment may be paper and pencil tests, structured student and family interviews, community or work-based assessments (situational) and curriculum-based assessments. </w:t>
      </w:r>
    </w:p>
    <w:p w:rsidR="00377F20" w:rsidRPr="00377F20" w:rsidRDefault="00377F20" w:rsidP="00377F20">
      <w:pPr>
        <w:shd w:val="clear" w:color="auto" w:fill="FFFFFF"/>
        <w:spacing w:after="288" w:line="240" w:lineRule="auto"/>
        <w:rPr>
          <w:rFonts w:ascii="Arial" w:eastAsia="Times New Roman" w:hAnsi="Arial" w:cs="Arial"/>
          <w:color w:val="000000"/>
          <w:lang w:eastAsia="en-US"/>
        </w:rPr>
      </w:pPr>
      <w:r w:rsidRPr="00377F20">
        <w:rPr>
          <w:rFonts w:ascii="Arial" w:eastAsia="Times New Roman" w:hAnsi="Arial" w:cs="Arial"/>
          <w:color w:val="000000"/>
          <w:lang w:eastAsia="en-US"/>
        </w:rPr>
        <w:t xml:space="preserve">These assessments or procedures come in two general formats – </w:t>
      </w:r>
      <w:r w:rsidRPr="00377F20">
        <w:rPr>
          <w:rFonts w:ascii="Arial" w:eastAsia="Times New Roman" w:hAnsi="Arial" w:cs="Arial"/>
          <w:b/>
          <w:color w:val="000000"/>
          <w:lang w:eastAsia="en-US"/>
        </w:rPr>
        <w:t>formal and informal</w:t>
      </w:r>
      <w:r w:rsidRPr="00377F20">
        <w:rPr>
          <w:rFonts w:ascii="Arial" w:eastAsia="Times New Roman" w:hAnsi="Arial" w:cs="Arial"/>
          <w:color w:val="000000"/>
          <w:lang w:eastAsia="en-US"/>
        </w:rPr>
        <w:t xml:space="preserve">. </w:t>
      </w:r>
    </w:p>
    <w:p w:rsidR="00377F20" w:rsidRPr="00377F20" w:rsidRDefault="00377F20" w:rsidP="00377F20">
      <w:pPr>
        <w:shd w:val="clear" w:color="auto" w:fill="FFFFFF"/>
        <w:spacing w:after="288" w:line="240" w:lineRule="auto"/>
        <w:ind w:left="720"/>
        <w:rPr>
          <w:rFonts w:ascii="Arial" w:eastAsia="Times New Roman" w:hAnsi="Arial" w:cs="Arial"/>
          <w:color w:val="000000"/>
          <w:lang w:eastAsia="en-US"/>
        </w:rPr>
      </w:pPr>
      <w:r w:rsidRPr="00377F20">
        <w:rPr>
          <w:rFonts w:ascii="Arial" w:eastAsia="Times New Roman" w:hAnsi="Arial" w:cs="Arial"/>
          <w:b/>
          <w:color w:val="000000"/>
          <w:lang w:eastAsia="en-US"/>
        </w:rPr>
        <w:t>Informal</w:t>
      </w:r>
      <w:r w:rsidRPr="00377F20">
        <w:rPr>
          <w:rFonts w:ascii="Arial" w:eastAsia="Times New Roman" w:hAnsi="Arial" w:cs="Arial"/>
          <w:color w:val="000000"/>
          <w:lang w:eastAsia="en-US"/>
        </w:rPr>
        <w:t xml:space="preserve"> measures may include interviews or questionnaires, direct observations, anecdotal records, environmental or situational analysis, curriculum-based assessments, interest inventories, preference assessments, and transition planning inventories. </w:t>
      </w:r>
    </w:p>
    <w:p w:rsidR="00377F20" w:rsidRPr="00377F20" w:rsidRDefault="00377F20" w:rsidP="00377F20">
      <w:pPr>
        <w:shd w:val="clear" w:color="auto" w:fill="FFFFFF"/>
        <w:spacing w:after="288" w:line="240" w:lineRule="auto"/>
        <w:ind w:left="720"/>
        <w:rPr>
          <w:rFonts w:ascii="Arial" w:eastAsia="Times New Roman" w:hAnsi="Arial" w:cs="Arial"/>
          <w:color w:val="000000"/>
          <w:lang w:eastAsia="en-US"/>
        </w:rPr>
      </w:pPr>
      <w:r w:rsidRPr="00377F20">
        <w:rPr>
          <w:rFonts w:ascii="Arial" w:eastAsia="Times New Roman" w:hAnsi="Arial" w:cs="Arial"/>
          <w:b/>
          <w:color w:val="000000"/>
          <w:lang w:eastAsia="en-US"/>
        </w:rPr>
        <w:t>Formal</w:t>
      </w:r>
      <w:r w:rsidRPr="00377F20">
        <w:rPr>
          <w:rFonts w:ascii="Arial" w:eastAsia="Times New Roman" w:hAnsi="Arial" w:cs="Arial"/>
          <w:color w:val="000000"/>
          <w:lang w:eastAsia="en-US"/>
        </w:rPr>
        <w:t xml:space="preserve"> measures include adaptive behavior and independent living assessments, aptitude tests, interest assessments, intelligence tests, achievement tests, personality or preference tests, career development measures, on the job or training evaluations, and measures of self-determination.</w:t>
      </w:r>
    </w:p>
    <w:p w:rsidR="00377F20" w:rsidRPr="00377F20" w:rsidRDefault="00377F20" w:rsidP="00377F20">
      <w:pPr>
        <w:shd w:val="clear" w:color="auto" w:fill="FFFFFF"/>
        <w:spacing w:after="288" w:line="240" w:lineRule="auto"/>
        <w:rPr>
          <w:rFonts w:ascii="Arial" w:eastAsia="Times New Roman" w:hAnsi="Arial" w:cs="Arial"/>
          <w:lang w:eastAsia="en-US"/>
        </w:rPr>
      </w:pPr>
      <w:r w:rsidRPr="00377F20">
        <w:rPr>
          <w:rFonts w:ascii="Arial" w:eastAsia="Times New Roman" w:hAnsi="Arial" w:cs="Arial"/>
          <w:color w:val="000000"/>
          <w:lang w:eastAsia="en-US"/>
        </w:rPr>
        <w:t xml:space="preserve">Examples of formal and informal transition assessment methods are presented at the following link:  </w:t>
      </w:r>
      <w:hyperlink r:id="rId8" w:history="1">
        <w:r w:rsidRPr="00377F20">
          <w:rPr>
            <w:rFonts w:ascii="Arial" w:eastAsia="Times New Roman" w:hAnsi="Arial" w:cs="Arial"/>
            <w:b/>
            <w:color w:val="0070B3"/>
            <w:sz w:val="20"/>
            <w:szCs w:val="20"/>
            <w:lang w:eastAsia="en-US"/>
          </w:rPr>
          <w:t>http://www.ode.state.or.us/wma/gradelevel/hs/transition/2012/ageapprotransassessment.doc</w:t>
        </w:r>
      </w:hyperlink>
      <w:r w:rsidRPr="00377F20">
        <w:rPr>
          <w:rFonts w:ascii="Arial" w:eastAsia="Times New Roman" w:hAnsi="Arial" w:cs="Arial"/>
          <w:b/>
          <w:color w:val="000000"/>
          <w:sz w:val="20"/>
          <w:szCs w:val="20"/>
          <w:lang w:eastAsia="en-US"/>
        </w:rPr>
        <w:t>.</w:t>
      </w:r>
      <w:r w:rsidRPr="00377F20">
        <w:rPr>
          <w:rFonts w:ascii="Arial" w:eastAsia="Times New Roman" w:hAnsi="Arial" w:cs="Arial"/>
          <w:color w:val="000000"/>
          <w:sz w:val="20"/>
          <w:szCs w:val="20"/>
          <w:lang w:eastAsia="en-US"/>
        </w:rPr>
        <w:t xml:space="preserve">  </w:t>
      </w:r>
      <w:r w:rsidRPr="00377F20">
        <w:rPr>
          <w:rFonts w:ascii="Arial" w:eastAsia="Times New Roman" w:hAnsi="Arial" w:cs="Arial"/>
          <w:lang w:eastAsia="en-US"/>
        </w:rPr>
        <w:t>The chart includes updated (Summer 2013) definitions, examples, websites, and approximate costs for the following transition assessment methods:</w:t>
      </w:r>
    </w:p>
    <w:tbl>
      <w:tblPr>
        <w:tblStyle w:val="TableGrid2"/>
        <w:tblW w:w="1098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377F20" w:rsidRPr="00377F20" w:rsidTr="003C54B3">
        <w:tc>
          <w:tcPr>
            <w:tcW w:w="5490" w:type="dxa"/>
          </w:tcPr>
          <w:p w:rsidR="00377F20" w:rsidRPr="00377F20" w:rsidRDefault="00377F20" w:rsidP="00377F20">
            <w:pPr>
              <w:shd w:val="clear" w:color="auto" w:fill="FFFFFF"/>
              <w:ind w:left="360"/>
              <w:rPr>
                <w:rFonts w:ascii="Arial" w:eastAsia="Times New Roman" w:hAnsi="Arial" w:cs="Arial"/>
                <w:b/>
              </w:rPr>
            </w:pPr>
            <w:r w:rsidRPr="00377F20">
              <w:rPr>
                <w:rFonts w:ascii="Arial" w:eastAsia="Times New Roman" w:hAnsi="Arial" w:cs="Arial"/>
                <w:b/>
              </w:rPr>
              <w:t>Formal</w:t>
            </w:r>
          </w:p>
          <w:p w:rsidR="00377F20" w:rsidRPr="00377F20" w:rsidRDefault="00377F20" w:rsidP="00377F20">
            <w:pPr>
              <w:numPr>
                <w:ilvl w:val="0"/>
                <w:numId w:val="1"/>
              </w:numPr>
              <w:shd w:val="clear" w:color="auto" w:fill="FFFFFF"/>
              <w:rPr>
                <w:rFonts w:ascii="Arial" w:eastAsia="Times New Roman" w:hAnsi="Arial" w:cs="Arial"/>
              </w:rPr>
            </w:pPr>
            <w:r w:rsidRPr="00377F20">
              <w:rPr>
                <w:rFonts w:ascii="Arial" w:eastAsia="Times New Roman" w:hAnsi="Arial" w:cs="Arial"/>
              </w:rPr>
              <w:t>Achievements Tests</w:t>
            </w:r>
          </w:p>
          <w:p w:rsidR="00377F20" w:rsidRPr="00377F20" w:rsidRDefault="00377F20" w:rsidP="00377F20">
            <w:pPr>
              <w:numPr>
                <w:ilvl w:val="0"/>
                <w:numId w:val="1"/>
              </w:numPr>
              <w:shd w:val="clear" w:color="auto" w:fill="FFFFFF"/>
              <w:rPr>
                <w:rFonts w:ascii="Arial" w:eastAsia="Times New Roman" w:hAnsi="Arial" w:cs="Arial"/>
              </w:rPr>
            </w:pPr>
            <w:r w:rsidRPr="00377F20">
              <w:rPr>
                <w:rFonts w:ascii="Arial" w:eastAsia="Times New Roman" w:hAnsi="Arial" w:cs="Arial"/>
              </w:rPr>
              <w:t>Adaptive Behavior and Independent Living</w:t>
            </w:r>
          </w:p>
          <w:p w:rsidR="00377F20" w:rsidRPr="00377F20" w:rsidRDefault="00377F20" w:rsidP="00377F20">
            <w:pPr>
              <w:numPr>
                <w:ilvl w:val="0"/>
                <w:numId w:val="1"/>
              </w:numPr>
              <w:shd w:val="clear" w:color="auto" w:fill="FFFFFF"/>
              <w:rPr>
                <w:rFonts w:ascii="Arial" w:eastAsia="Times New Roman" w:hAnsi="Arial" w:cs="Arial"/>
              </w:rPr>
            </w:pPr>
            <w:r w:rsidRPr="00377F20">
              <w:rPr>
                <w:rFonts w:ascii="Arial" w:eastAsia="Times New Roman" w:hAnsi="Arial" w:cs="Arial"/>
              </w:rPr>
              <w:t>Aptitude Tests</w:t>
            </w:r>
          </w:p>
          <w:p w:rsidR="00377F20" w:rsidRPr="00377F20" w:rsidRDefault="00377F20" w:rsidP="00377F20">
            <w:pPr>
              <w:numPr>
                <w:ilvl w:val="0"/>
                <w:numId w:val="1"/>
              </w:numPr>
              <w:shd w:val="clear" w:color="auto" w:fill="FFFFFF"/>
              <w:rPr>
                <w:rFonts w:ascii="Arial" w:eastAsia="Times New Roman" w:hAnsi="Arial" w:cs="Arial"/>
              </w:rPr>
            </w:pPr>
            <w:r w:rsidRPr="00377F20">
              <w:rPr>
                <w:rFonts w:ascii="Arial" w:eastAsia="Times New Roman" w:hAnsi="Arial" w:cs="Arial"/>
              </w:rPr>
              <w:t>Interest Inventories</w:t>
            </w:r>
          </w:p>
          <w:p w:rsidR="00377F20" w:rsidRPr="00377F20" w:rsidRDefault="00377F20" w:rsidP="00377F20">
            <w:pPr>
              <w:numPr>
                <w:ilvl w:val="0"/>
                <w:numId w:val="1"/>
              </w:numPr>
              <w:shd w:val="clear" w:color="auto" w:fill="FFFFFF"/>
              <w:rPr>
                <w:rFonts w:ascii="Arial" w:eastAsia="Times New Roman" w:hAnsi="Arial" w:cs="Arial"/>
              </w:rPr>
            </w:pPr>
            <w:r w:rsidRPr="00377F20">
              <w:rPr>
                <w:rFonts w:ascii="Arial" w:eastAsia="Times New Roman" w:hAnsi="Arial" w:cs="Arial"/>
              </w:rPr>
              <w:t>Intelligence Tests</w:t>
            </w:r>
          </w:p>
          <w:p w:rsidR="00377F20" w:rsidRPr="00377F20" w:rsidRDefault="00377F20" w:rsidP="00377F20">
            <w:pPr>
              <w:numPr>
                <w:ilvl w:val="0"/>
                <w:numId w:val="1"/>
              </w:numPr>
              <w:shd w:val="clear" w:color="auto" w:fill="FFFFFF"/>
              <w:rPr>
                <w:rFonts w:ascii="Arial" w:eastAsia="Times New Roman" w:hAnsi="Arial" w:cs="Arial"/>
              </w:rPr>
            </w:pPr>
            <w:r w:rsidRPr="00377F20">
              <w:rPr>
                <w:rFonts w:ascii="Arial" w:eastAsia="Times New Roman" w:hAnsi="Arial" w:cs="Arial"/>
              </w:rPr>
              <w:t>Personality or Preference Tests</w:t>
            </w:r>
          </w:p>
          <w:p w:rsidR="00377F20" w:rsidRPr="00377F20" w:rsidRDefault="00377F20" w:rsidP="00377F20">
            <w:pPr>
              <w:numPr>
                <w:ilvl w:val="0"/>
                <w:numId w:val="1"/>
              </w:numPr>
              <w:shd w:val="clear" w:color="auto" w:fill="FFFFFF"/>
              <w:rPr>
                <w:rFonts w:ascii="Arial" w:eastAsia="Times New Roman" w:hAnsi="Arial" w:cs="Arial"/>
              </w:rPr>
            </w:pPr>
            <w:r w:rsidRPr="00377F20">
              <w:rPr>
                <w:rFonts w:ascii="Arial" w:eastAsia="Times New Roman" w:hAnsi="Arial" w:cs="Arial"/>
              </w:rPr>
              <w:t>Career Development Measures</w:t>
            </w:r>
          </w:p>
          <w:p w:rsidR="00377F20" w:rsidRPr="00377F20" w:rsidRDefault="00377F20" w:rsidP="00377F20">
            <w:pPr>
              <w:numPr>
                <w:ilvl w:val="0"/>
                <w:numId w:val="1"/>
              </w:numPr>
              <w:shd w:val="clear" w:color="auto" w:fill="FFFFFF"/>
              <w:rPr>
                <w:rFonts w:ascii="Arial" w:eastAsia="Times New Roman" w:hAnsi="Arial" w:cs="Arial"/>
              </w:rPr>
            </w:pPr>
            <w:r w:rsidRPr="00377F20">
              <w:rPr>
                <w:rFonts w:ascii="Arial" w:eastAsia="Times New Roman" w:hAnsi="Arial" w:cs="Arial"/>
              </w:rPr>
              <w:t>Self-Determination Assessments</w:t>
            </w:r>
          </w:p>
          <w:p w:rsidR="00377F20" w:rsidRPr="00377F20" w:rsidRDefault="00377F20" w:rsidP="00377F20">
            <w:pPr>
              <w:shd w:val="clear" w:color="auto" w:fill="FFFFFF"/>
              <w:ind w:left="720"/>
              <w:rPr>
                <w:rFonts w:ascii="Arial" w:eastAsia="Times New Roman" w:hAnsi="Arial" w:cs="Arial"/>
              </w:rPr>
            </w:pPr>
          </w:p>
          <w:p w:rsidR="00377F20" w:rsidRPr="00377F20" w:rsidRDefault="00377F20" w:rsidP="00377F20">
            <w:pPr>
              <w:shd w:val="clear" w:color="auto" w:fill="FFFFFF"/>
              <w:ind w:left="720"/>
              <w:rPr>
                <w:rFonts w:ascii="Arial" w:eastAsia="Times New Roman" w:hAnsi="Arial" w:cs="Arial"/>
              </w:rPr>
            </w:pPr>
          </w:p>
        </w:tc>
        <w:tc>
          <w:tcPr>
            <w:tcW w:w="5490" w:type="dxa"/>
          </w:tcPr>
          <w:p w:rsidR="00377F20" w:rsidRPr="00377F20" w:rsidRDefault="00377F20" w:rsidP="00377F20">
            <w:pPr>
              <w:shd w:val="clear" w:color="auto" w:fill="FFFFFF"/>
              <w:rPr>
                <w:rFonts w:ascii="Arial" w:eastAsia="Times New Roman" w:hAnsi="Arial" w:cs="Arial"/>
                <w:b/>
              </w:rPr>
            </w:pPr>
            <w:r w:rsidRPr="00377F20">
              <w:rPr>
                <w:rFonts w:ascii="Arial" w:eastAsia="Times New Roman" w:hAnsi="Arial" w:cs="Arial"/>
                <w:b/>
              </w:rPr>
              <w:t xml:space="preserve">      Informal</w:t>
            </w:r>
          </w:p>
          <w:p w:rsidR="00377F20" w:rsidRPr="00377F20" w:rsidRDefault="00377F20" w:rsidP="00377F20">
            <w:pPr>
              <w:numPr>
                <w:ilvl w:val="0"/>
                <w:numId w:val="1"/>
              </w:numPr>
              <w:shd w:val="clear" w:color="auto" w:fill="FFFFFF"/>
              <w:rPr>
                <w:rFonts w:ascii="Arial" w:eastAsia="Times New Roman" w:hAnsi="Arial" w:cs="Arial"/>
              </w:rPr>
            </w:pPr>
            <w:r w:rsidRPr="00377F20">
              <w:rPr>
                <w:rFonts w:ascii="Arial" w:eastAsia="Times New Roman" w:hAnsi="Arial" w:cs="Arial"/>
              </w:rPr>
              <w:t>Curriculum-Based Assessments</w:t>
            </w:r>
          </w:p>
          <w:p w:rsidR="00377F20" w:rsidRPr="00377F20" w:rsidRDefault="00377F20" w:rsidP="00377F20">
            <w:pPr>
              <w:numPr>
                <w:ilvl w:val="0"/>
                <w:numId w:val="1"/>
              </w:numPr>
              <w:shd w:val="clear" w:color="auto" w:fill="FFFFFF"/>
              <w:rPr>
                <w:rFonts w:ascii="Arial" w:eastAsia="Times New Roman" w:hAnsi="Arial" w:cs="Arial"/>
              </w:rPr>
            </w:pPr>
            <w:r w:rsidRPr="00377F20">
              <w:rPr>
                <w:rFonts w:ascii="Arial" w:eastAsia="Times New Roman" w:hAnsi="Arial" w:cs="Arial"/>
              </w:rPr>
              <w:t xml:space="preserve">School Performance Measures </w:t>
            </w:r>
          </w:p>
          <w:p w:rsidR="00377F20" w:rsidRPr="00377F20" w:rsidRDefault="00377F20" w:rsidP="00377F20">
            <w:pPr>
              <w:numPr>
                <w:ilvl w:val="0"/>
                <w:numId w:val="1"/>
              </w:numPr>
              <w:shd w:val="clear" w:color="auto" w:fill="FFFFFF"/>
              <w:rPr>
                <w:rFonts w:ascii="Arial" w:eastAsia="Times New Roman" w:hAnsi="Arial" w:cs="Arial"/>
              </w:rPr>
            </w:pPr>
            <w:r w:rsidRPr="00377F20">
              <w:rPr>
                <w:rFonts w:ascii="Arial" w:eastAsia="Times New Roman" w:hAnsi="Arial" w:cs="Arial"/>
              </w:rPr>
              <w:t>On the Job or Training Evaluations</w:t>
            </w:r>
          </w:p>
          <w:p w:rsidR="00377F20" w:rsidRPr="00377F20" w:rsidRDefault="00377F20" w:rsidP="00377F20">
            <w:pPr>
              <w:numPr>
                <w:ilvl w:val="0"/>
                <w:numId w:val="1"/>
              </w:numPr>
              <w:shd w:val="clear" w:color="auto" w:fill="FFFFFF"/>
              <w:rPr>
                <w:rFonts w:ascii="Arial" w:eastAsia="Times New Roman" w:hAnsi="Arial" w:cs="Arial"/>
              </w:rPr>
            </w:pPr>
            <w:r w:rsidRPr="00377F20">
              <w:rPr>
                <w:rFonts w:ascii="Arial" w:eastAsia="Times New Roman" w:hAnsi="Arial" w:cs="Arial"/>
              </w:rPr>
              <w:t>Career Planning Resources</w:t>
            </w:r>
          </w:p>
          <w:p w:rsidR="00377F20" w:rsidRPr="00377F20" w:rsidRDefault="00377F20" w:rsidP="00377F20">
            <w:pPr>
              <w:numPr>
                <w:ilvl w:val="0"/>
                <w:numId w:val="1"/>
              </w:numPr>
              <w:shd w:val="clear" w:color="auto" w:fill="FFFFFF"/>
              <w:rPr>
                <w:rFonts w:ascii="Arial" w:eastAsia="Times New Roman" w:hAnsi="Arial" w:cs="Arial"/>
              </w:rPr>
            </w:pPr>
            <w:r w:rsidRPr="00377F20">
              <w:rPr>
                <w:rFonts w:ascii="Arial" w:eastAsia="Times New Roman" w:hAnsi="Arial" w:cs="Arial"/>
              </w:rPr>
              <w:t>Observations</w:t>
            </w:r>
          </w:p>
          <w:p w:rsidR="00377F20" w:rsidRPr="00377F20" w:rsidRDefault="00377F20" w:rsidP="00377F20">
            <w:pPr>
              <w:numPr>
                <w:ilvl w:val="0"/>
                <w:numId w:val="1"/>
              </w:numPr>
              <w:shd w:val="clear" w:color="auto" w:fill="FFFFFF"/>
              <w:rPr>
                <w:rFonts w:ascii="Arial" w:eastAsia="Times New Roman" w:hAnsi="Arial" w:cs="Arial"/>
              </w:rPr>
            </w:pPr>
            <w:r w:rsidRPr="00377F20">
              <w:rPr>
                <w:rFonts w:ascii="Arial" w:eastAsia="Times New Roman" w:hAnsi="Arial" w:cs="Arial"/>
              </w:rPr>
              <w:t>Student Interviews</w:t>
            </w:r>
          </w:p>
          <w:p w:rsidR="00377F20" w:rsidRPr="00377F20" w:rsidRDefault="00377F20" w:rsidP="00377F20">
            <w:pPr>
              <w:shd w:val="clear" w:color="auto" w:fill="FFFFFF"/>
              <w:rPr>
                <w:rFonts w:ascii="Arial" w:eastAsia="Times New Roman" w:hAnsi="Arial" w:cs="Arial"/>
              </w:rPr>
            </w:pPr>
          </w:p>
          <w:p w:rsidR="00377F20" w:rsidRPr="00377F20" w:rsidRDefault="00377F20" w:rsidP="00377F20">
            <w:pPr>
              <w:shd w:val="clear" w:color="auto" w:fill="FFFFFF"/>
              <w:ind w:left="720"/>
              <w:rPr>
                <w:rFonts w:ascii="Arial" w:eastAsia="Times New Roman" w:hAnsi="Arial" w:cs="Arial"/>
              </w:rPr>
            </w:pPr>
          </w:p>
        </w:tc>
      </w:tr>
      <w:tr w:rsidR="00377F20" w:rsidRPr="00377F20" w:rsidTr="003C54B3">
        <w:tc>
          <w:tcPr>
            <w:tcW w:w="5490" w:type="dxa"/>
          </w:tcPr>
          <w:p w:rsidR="00377F20" w:rsidRPr="00377F20" w:rsidRDefault="00377F20" w:rsidP="00377F20">
            <w:pPr>
              <w:shd w:val="clear" w:color="auto" w:fill="FFFFFF"/>
              <w:ind w:left="360"/>
              <w:rPr>
                <w:rFonts w:ascii="Arial" w:eastAsia="Times New Roman" w:hAnsi="Arial" w:cs="Arial"/>
                <w:b/>
              </w:rPr>
            </w:pPr>
          </w:p>
        </w:tc>
        <w:tc>
          <w:tcPr>
            <w:tcW w:w="5490" w:type="dxa"/>
          </w:tcPr>
          <w:p w:rsidR="00377F20" w:rsidRPr="00377F20" w:rsidRDefault="00377F20" w:rsidP="00377F20">
            <w:pPr>
              <w:shd w:val="clear" w:color="auto" w:fill="FFFFFF"/>
              <w:rPr>
                <w:rFonts w:ascii="Arial" w:eastAsia="Times New Roman" w:hAnsi="Arial" w:cs="Arial"/>
                <w:b/>
              </w:rPr>
            </w:pPr>
          </w:p>
        </w:tc>
      </w:tr>
    </w:tbl>
    <w:p w:rsidR="00377F20" w:rsidRPr="00377F20" w:rsidRDefault="00377F20" w:rsidP="00377F20">
      <w:pPr>
        <w:shd w:val="clear" w:color="auto" w:fill="FFFFFF"/>
        <w:spacing w:after="0" w:line="240" w:lineRule="auto"/>
        <w:rPr>
          <w:rFonts w:ascii="Arial" w:eastAsia="Times New Roman" w:hAnsi="Arial" w:cs="Arial"/>
          <w:color w:val="FF0000"/>
          <w:lang w:eastAsia="en-US"/>
        </w:rPr>
      </w:pPr>
      <w:r w:rsidRPr="00377F20">
        <w:rPr>
          <w:rFonts w:ascii="Arial" w:eastAsia="Times New Roman" w:hAnsi="Arial" w:cs="Arial"/>
          <w:lang w:eastAsia="en-US"/>
        </w:rPr>
        <w:t>For an in-depth look at how the age-appropriate transition assessments process is determined, please see the case studies and discussion starters using student profiles in this section.</w:t>
      </w:r>
    </w:p>
    <w:p w:rsidR="00377F20" w:rsidRPr="00377F20" w:rsidRDefault="00377F20" w:rsidP="00377F20">
      <w:pPr>
        <w:rPr>
          <w:rFonts w:eastAsiaTheme="minorHAnsi"/>
          <w:lang w:eastAsia="en-US"/>
        </w:rPr>
      </w:pPr>
    </w:p>
    <w:p w:rsidR="00377F20" w:rsidRPr="00377F20" w:rsidRDefault="00377F20" w:rsidP="00377F20">
      <w:pPr>
        <w:rPr>
          <w:rFonts w:eastAsiaTheme="minorHAnsi"/>
          <w:lang w:eastAsia="en-US"/>
        </w:rPr>
      </w:pPr>
    </w:p>
    <w:p w:rsidR="00377F20" w:rsidRPr="00377F20" w:rsidRDefault="00377F20" w:rsidP="00377F20">
      <w:pPr>
        <w:rPr>
          <w:rFonts w:eastAsiaTheme="minorHAnsi"/>
          <w:lang w:eastAsia="en-US"/>
        </w:rPr>
      </w:pPr>
      <w:bookmarkStart w:id="0" w:name="_GoBack"/>
      <w:bookmarkEnd w:id="0"/>
    </w:p>
    <w:sectPr w:rsidR="00377F20" w:rsidRPr="00377F20" w:rsidSect="00E6135F">
      <w:type w:val="continuous"/>
      <w:pgSz w:w="12240" w:h="15840" w:code="1"/>
      <w:pgMar w:top="634" w:right="864" w:bottom="1008" w:left="1296"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F20" w:rsidRDefault="00377F20" w:rsidP="00377F20">
      <w:pPr>
        <w:spacing w:after="0" w:line="240" w:lineRule="auto"/>
      </w:pPr>
      <w:r>
        <w:separator/>
      </w:r>
    </w:p>
  </w:endnote>
  <w:endnote w:type="continuationSeparator" w:id="0">
    <w:p w:rsidR="00377F20" w:rsidRDefault="00377F20" w:rsidP="00377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3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F20" w:rsidRDefault="00377F20" w:rsidP="00377F20">
      <w:pPr>
        <w:spacing w:after="0" w:line="240" w:lineRule="auto"/>
      </w:pPr>
      <w:r>
        <w:separator/>
      </w:r>
    </w:p>
  </w:footnote>
  <w:footnote w:type="continuationSeparator" w:id="0">
    <w:p w:rsidR="00377F20" w:rsidRDefault="00377F20" w:rsidP="00377F20">
      <w:pPr>
        <w:spacing w:after="0" w:line="240" w:lineRule="auto"/>
      </w:pPr>
      <w:r>
        <w:continuationSeparator/>
      </w:r>
    </w:p>
  </w:footnote>
  <w:footnote w:id="1">
    <w:p w:rsidR="00377F20" w:rsidRDefault="00377F20" w:rsidP="00377F20">
      <w:pPr>
        <w:pStyle w:val="FootnoteText"/>
      </w:pPr>
      <w:r>
        <w:rPr>
          <w:rStyle w:val="FootnoteReference"/>
        </w:rPr>
        <w:footnoteRef/>
      </w:r>
      <w:r>
        <w:t xml:space="preserve"> </w:t>
      </w:r>
      <w:proofErr w:type="gramStart"/>
      <w:r>
        <w:t>Division on Career Development and Transition (DCDT), Council for Exceptional Children.</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51559"/>
    <w:multiLevelType w:val="hybridMultilevel"/>
    <w:tmpl w:val="7152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F20"/>
    <w:rsid w:val="00377F20"/>
    <w:rsid w:val="009F63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77F20"/>
  </w:style>
  <w:style w:type="paragraph" w:styleId="TOC2">
    <w:name w:val="toc 2"/>
    <w:basedOn w:val="Normal"/>
    <w:next w:val="Normal"/>
    <w:autoRedefine/>
    <w:uiPriority w:val="39"/>
    <w:unhideWhenUsed/>
    <w:qFormat/>
    <w:rsid w:val="00377F20"/>
    <w:pPr>
      <w:spacing w:after="100" w:line="240" w:lineRule="auto"/>
    </w:pPr>
    <w:rPr>
      <w:rFonts w:ascii="Calibri" w:eastAsia="PMingLiU" w:hAnsi="Calibri" w:cs="Arial"/>
      <w:sz w:val="28"/>
      <w:szCs w:val="28"/>
      <w:lang w:eastAsia="ja-JP" w:bidi="en-US"/>
    </w:rPr>
  </w:style>
  <w:style w:type="table" w:styleId="TableGrid">
    <w:name w:val="Table Grid"/>
    <w:basedOn w:val="TableNormal"/>
    <w:uiPriority w:val="59"/>
    <w:rsid w:val="00377F2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7F20"/>
    <w:pPr>
      <w:spacing w:after="0" w:line="240" w:lineRule="auto"/>
    </w:pPr>
    <w:rPr>
      <w:rFonts w:ascii="Tahoma" w:eastAsia="PMingLiU" w:hAnsi="Tahoma" w:cs="Tahoma"/>
      <w:sz w:val="16"/>
      <w:szCs w:val="16"/>
      <w:lang w:eastAsia="en-US" w:bidi="en-US"/>
    </w:rPr>
  </w:style>
  <w:style w:type="character" w:customStyle="1" w:styleId="BalloonTextChar">
    <w:name w:val="Balloon Text Char"/>
    <w:basedOn w:val="DefaultParagraphFont"/>
    <w:link w:val="BalloonText"/>
    <w:uiPriority w:val="99"/>
    <w:semiHidden/>
    <w:rsid w:val="00377F20"/>
    <w:rPr>
      <w:rFonts w:ascii="Tahoma" w:eastAsia="PMingLiU" w:hAnsi="Tahoma" w:cs="Tahoma"/>
      <w:sz w:val="16"/>
      <w:szCs w:val="16"/>
      <w:lang w:eastAsia="en-US" w:bidi="en-US"/>
    </w:rPr>
  </w:style>
  <w:style w:type="paragraph" w:styleId="Header">
    <w:name w:val="header"/>
    <w:basedOn w:val="Normal"/>
    <w:link w:val="HeaderChar"/>
    <w:uiPriority w:val="99"/>
    <w:unhideWhenUsed/>
    <w:rsid w:val="00377F20"/>
    <w:pPr>
      <w:tabs>
        <w:tab w:val="center" w:pos="4680"/>
        <w:tab w:val="right" w:pos="9360"/>
      </w:tabs>
      <w:spacing w:after="0" w:line="240" w:lineRule="auto"/>
    </w:pPr>
    <w:rPr>
      <w:rFonts w:ascii="Calibri" w:eastAsia="PMingLiU" w:hAnsi="Calibri" w:cs="Arial"/>
      <w:lang w:eastAsia="en-US" w:bidi="en-US"/>
    </w:rPr>
  </w:style>
  <w:style w:type="character" w:customStyle="1" w:styleId="HeaderChar">
    <w:name w:val="Header Char"/>
    <w:basedOn w:val="DefaultParagraphFont"/>
    <w:link w:val="Header"/>
    <w:uiPriority w:val="99"/>
    <w:rsid w:val="00377F20"/>
    <w:rPr>
      <w:rFonts w:ascii="Calibri" w:eastAsia="PMingLiU" w:hAnsi="Calibri" w:cs="Arial"/>
      <w:lang w:eastAsia="en-US" w:bidi="en-US"/>
    </w:rPr>
  </w:style>
  <w:style w:type="paragraph" w:styleId="Footer">
    <w:name w:val="footer"/>
    <w:basedOn w:val="Normal"/>
    <w:link w:val="FooterChar"/>
    <w:uiPriority w:val="99"/>
    <w:unhideWhenUsed/>
    <w:rsid w:val="00377F20"/>
    <w:pPr>
      <w:tabs>
        <w:tab w:val="center" w:pos="4680"/>
        <w:tab w:val="right" w:pos="9360"/>
      </w:tabs>
      <w:spacing w:after="0" w:line="240" w:lineRule="auto"/>
    </w:pPr>
    <w:rPr>
      <w:rFonts w:ascii="Calibri" w:eastAsia="PMingLiU" w:hAnsi="Calibri" w:cs="Arial"/>
      <w:lang w:eastAsia="en-US" w:bidi="en-US"/>
    </w:rPr>
  </w:style>
  <w:style w:type="character" w:customStyle="1" w:styleId="FooterChar">
    <w:name w:val="Footer Char"/>
    <w:basedOn w:val="DefaultParagraphFont"/>
    <w:link w:val="Footer"/>
    <w:uiPriority w:val="99"/>
    <w:rsid w:val="00377F20"/>
    <w:rPr>
      <w:rFonts w:ascii="Calibri" w:eastAsia="PMingLiU" w:hAnsi="Calibri" w:cs="Arial"/>
      <w:lang w:eastAsia="en-US" w:bidi="en-US"/>
    </w:rPr>
  </w:style>
  <w:style w:type="character" w:styleId="Hyperlink">
    <w:name w:val="Hyperlink"/>
    <w:basedOn w:val="DefaultParagraphFont"/>
    <w:uiPriority w:val="99"/>
    <w:unhideWhenUsed/>
    <w:rsid w:val="00377F20"/>
    <w:rPr>
      <w:color w:val="0000FF" w:themeColor="hyperlink"/>
      <w:u w:val="single"/>
    </w:rPr>
  </w:style>
  <w:style w:type="paragraph" w:styleId="FootnoteText">
    <w:name w:val="footnote text"/>
    <w:basedOn w:val="Normal"/>
    <w:link w:val="FootnoteTextChar"/>
    <w:unhideWhenUsed/>
    <w:rsid w:val="00377F20"/>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rsid w:val="00377F20"/>
    <w:rPr>
      <w:rFonts w:eastAsiaTheme="minorHAnsi"/>
      <w:sz w:val="20"/>
      <w:szCs w:val="20"/>
      <w:lang w:eastAsia="en-US"/>
    </w:rPr>
  </w:style>
  <w:style w:type="character" w:styleId="FootnoteReference">
    <w:name w:val="footnote reference"/>
    <w:basedOn w:val="DefaultParagraphFont"/>
    <w:unhideWhenUsed/>
    <w:rsid w:val="00377F20"/>
    <w:rPr>
      <w:vertAlign w:val="superscript"/>
    </w:rPr>
  </w:style>
  <w:style w:type="paragraph" w:styleId="ListParagraph">
    <w:name w:val="List Paragraph"/>
    <w:basedOn w:val="Normal"/>
    <w:uiPriority w:val="34"/>
    <w:qFormat/>
    <w:rsid w:val="00377F20"/>
    <w:pPr>
      <w:ind w:left="720"/>
      <w:contextualSpacing/>
    </w:pPr>
    <w:rPr>
      <w:rFonts w:ascii="Calibri" w:eastAsia="PMingLiU" w:hAnsi="Calibri" w:cs="Arial"/>
      <w:lang w:eastAsia="en-US" w:bidi="en-US"/>
    </w:rPr>
  </w:style>
  <w:style w:type="table" w:customStyle="1" w:styleId="TableGrid1">
    <w:name w:val="Table Grid1"/>
    <w:basedOn w:val="TableNormal"/>
    <w:next w:val="TableGrid"/>
    <w:uiPriority w:val="59"/>
    <w:rsid w:val="00377F2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77F2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77F20"/>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qFormat/>
    <w:rsid w:val="00377F20"/>
    <w:rPr>
      <w:b/>
      <w:bCs/>
    </w:rPr>
  </w:style>
  <w:style w:type="table" w:customStyle="1" w:styleId="TableGrid3">
    <w:name w:val="Table Grid3"/>
    <w:basedOn w:val="TableNormal"/>
    <w:next w:val="TableGrid"/>
    <w:uiPriority w:val="59"/>
    <w:rsid w:val="00377F2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77F20"/>
    <w:pPr>
      <w:spacing w:after="0" w:line="240" w:lineRule="auto"/>
    </w:pPr>
    <w:rPr>
      <w:rFonts w:eastAsiaTheme="minorHAnsi"/>
      <w:lang w:eastAsia="en-US"/>
    </w:rPr>
  </w:style>
  <w:style w:type="numbering" w:customStyle="1" w:styleId="NoList11">
    <w:name w:val="No List11"/>
    <w:next w:val="NoList"/>
    <w:uiPriority w:val="99"/>
    <w:semiHidden/>
    <w:unhideWhenUsed/>
    <w:rsid w:val="00377F20"/>
  </w:style>
  <w:style w:type="paragraph" w:styleId="PlainText">
    <w:name w:val="Plain Text"/>
    <w:basedOn w:val="Normal"/>
    <w:link w:val="PlainTextChar"/>
    <w:uiPriority w:val="99"/>
    <w:unhideWhenUsed/>
    <w:rsid w:val="00377F20"/>
    <w:pPr>
      <w:spacing w:after="0" w:line="240" w:lineRule="auto"/>
    </w:pPr>
    <w:rPr>
      <w:rFonts w:ascii="Consolas" w:eastAsia="Times New Roman" w:hAnsi="Consolas" w:cs="Times New Roman"/>
      <w:sz w:val="21"/>
      <w:szCs w:val="21"/>
      <w:lang w:eastAsia="en-US"/>
    </w:rPr>
  </w:style>
  <w:style w:type="character" w:customStyle="1" w:styleId="PlainTextChar">
    <w:name w:val="Plain Text Char"/>
    <w:basedOn w:val="DefaultParagraphFont"/>
    <w:link w:val="PlainText"/>
    <w:uiPriority w:val="99"/>
    <w:rsid w:val="00377F20"/>
    <w:rPr>
      <w:rFonts w:ascii="Consolas" w:eastAsia="Times New Roman" w:hAnsi="Consolas" w:cs="Times New Roman"/>
      <w:sz w:val="21"/>
      <w:szCs w:val="21"/>
      <w:lang w:eastAsia="en-US"/>
    </w:rPr>
  </w:style>
  <w:style w:type="character" w:styleId="Emphasis">
    <w:name w:val="Emphasis"/>
    <w:uiPriority w:val="20"/>
    <w:qFormat/>
    <w:rsid w:val="00377F20"/>
    <w:rPr>
      <w:i/>
      <w:iCs/>
    </w:rPr>
  </w:style>
  <w:style w:type="paragraph" w:customStyle="1" w:styleId="default">
    <w:name w:val="default"/>
    <w:basedOn w:val="Normal"/>
    <w:uiPriority w:val="99"/>
    <w:rsid w:val="00377F20"/>
    <w:pPr>
      <w:spacing w:after="0" w:line="240" w:lineRule="auto"/>
    </w:pPr>
    <w:rPr>
      <w:rFonts w:ascii="Times New Roman" w:eastAsia="Times New Roman" w:hAnsi="Times New Roman" w:cs="Times New Roman"/>
      <w:color w:val="000000"/>
      <w:sz w:val="24"/>
      <w:szCs w:val="24"/>
      <w:lang w:eastAsia="en-US"/>
    </w:rPr>
  </w:style>
  <w:style w:type="character" w:customStyle="1" w:styleId="apple-style-span">
    <w:name w:val="apple-style-span"/>
    <w:basedOn w:val="DefaultParagraphFont"/>
    <w:rsid w:val="00377F20"/>
  </w:style>
  <w:style w:type="character" w:customStyle="1" w:styleId="apple-converted-space">
    <w:name w:val="apple-converted-space"/>
    <w:basedOn w:val="DefaultParagraphFont"/>
    <w:rsid w:val="00377F20"/>
  </w:style>
  <w:style w:type="paragraph" w:customStyle="1" w:styleId="Default0">
    <w:name w:val="Default"/>
    <w:rsid w:val="00377F20"/>
    <w:pPr>
      <w:autoSpaceDE w:val="0"/>
      <w:autoSpaceDN w:val="0"/>
      <w:adjustRightInd w:val="0"/>
      <w:spacing w:after="0" w:line="240" w:lineRule="auto"/>
    </w:pPr>
    <w:rPr>
      <w:rFonts w:ascii="Arial" w:eastAsia="Times New Roman" w:hAnsi="Arial" w:cs="Arial"/>
      <w:color w:val="000000"/>
      <w:sz w:val="24"/>
      <w:szCs w:val="24"/>
      <w:lang w:eastAsia="en-US"/>
    </w:rPr>
  </w:style>
  <w:style w:type="paragraph" w:customStyle="1" w:styleId="BodyText1">
    <w:name w:val="Body Text1"/>
    <w:link w:val="BodytextChar"/>
    <w:rsid w:val="00377F20"/>
    <w:pPr>
      <w:widowControl w:val="0"/>
      <w:autoSpaceDE w:val="0"/>
      <w:autoSpaceDN w:val="0"/>
      <w:adjustRightInd w:val="0"/>
      <w:spacing w:after="0" w:line="250" w:lineRule="atLeast"/>
    </w:pPr>
    <w:rPr>
      <w:rFonts w:ascii="Optima" w:eastAsia="Times New Roman" w:hAnsi="Optima" w:cs="Times New Roman"/>
      <w:color w:val="000000"/>
      <w:sz w:val="21"/>
      <w:szCs w:val="21"/>
      <w:lang w:eastAsia="en-US"/>
    </w:rPr>
  </w:style>
  <w:style w:type="character" w:customStyle="1" w:styleId="BodytextChar">
    <w:name w:val="Body text Char"/>
    <w:link w:val="BodyText1"/>
    <w:locked/>
    <w:rsid w:val="00377F20"/>
    <w:rPr>
      <w:rFonts w:ascii="Optima" w:eastAsia="Times New Roman" w:hAnsi="Optima" w:cs="Times New Roman"/>
      <w:color w:val="000000"/>
      <w:sz w:val="21"/>
      <w:szCs w:val="21"/>
      <w:lang w:eastAsia="en-US"/>
    </w:rPr>
  </w:style>
  <w:style w:type="character" w:styleId="FollowedHyperlink">
    <w:name w:val="FollowedHyperlink"/>
    <w:uiPriority w:val="99"/>
    <w:semiHidden/>
    <w:unhideWhenUsed/>
    <w:rsid w:val="00377F20"/>
    <w:rPr>
      <w:color w:val="800080"/>
      <w:u w:val="single"/>
    </w:rPr>
  </w:style>
  <w:style w:type="character" w:styleId="CommentReference">
    <w:name w:val="annotation reference"/>
    <w:uiPriority w:val="99"/>
    <w:semiHidden/>
    <w:unhideWhenUsed/>
    <w:rsid w:val="00377F20"/>
    <w:rPr>
      <w:sz w:val="16"/>
      <w:szCs w:val="16"/>
    </w:rPr>
  </w:style>
  <w:style w:type="paragraph" w:styleId="CommentText">
    <w:name w:val="annotation text"/>
    <w:basedOn w:val="Normal"/>
    <w:link w:val="CommentTextChar"/>
    <w:uiPriority w:val="99"/>
    <w:semiHidden/>
    <w:unhideWhenUsed/>
    <w:rsid w:val="00377F20"/>
    <w:pPr>
      <w:spacing w:line="240" w:lineRule="auto"/>
    </w:pPr>
    <w:rPr>
      <w:rFonts w:ascii="Calibri" w:eastAsia="Times New Roman" w:hAnsi="Calibri" w:cs="Times New Roman"/>
      <w:sz w:val="20"/>
      <w:szCs w:val="20"/>
      <w:lang w:eastAsia="en-US"/>
    </w:rPr>
  </w:style>
  <w:style w:type="character" w:customStyle="1" w:styleId="CommentTextChar">
    <w:name w:val="Comment Text Char"/>
    <w:basedOn w:val="DefaultParagraphFont"/>
    <w:link w:val="CommentText"/>
    <w:uiPriority w:val="99"/>
    <w:semiHidden/>
    <w:rsid w:val="00377F20"/>
    <w:rPr>
      <w:rFonts w:ascii="Calibri" w:eastAsia="Times New Roman"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77F20"/>
    <w:rPr>
      <w:b/>
      <w:bCs/>
    </w:rPr>
  </w:style>
  <w:style w:type="character" w:customStyle="1" w:styleId="CommentSubjectChar">
    <w:name w:val="Comment Subject Char"/>
    <w:basedOn w:val="CommentTextChar"/>
    <w:link w:val="CommentSubject"/>
    <w:uiPriority w:val="99"/>
    <w:semiHidden/>
    <w:rsid w:val="00377F20"/>
    <w:rPr>
      <w:rFonts w:ascii="Calibri" w:eastAsia="Times New Roman" w:hAnsi="Calibri" w:cs="Times New Roman"/>
      <w:b/>
      <w:bCs/>
      <w:sz w:val="20"/>
      <w:szCs w:val="20"/>
      <w:lang w:eastAsia="en-US"/>
    </w:rPr>
  </w:style>
  <w:style w:type="table" w:customStyle="1" w:styleId="TableGrid4">
    <w:name w:val="Table Grid4"/>
    <w:basedOn w:val="TableNormal"/>
    <w:next w:val="TableGrid"/>
    <w:uiPriority w:val="59"/>
    <w:rsid w:val="00377F2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77F20"/>
  </w:style>
  <w:style w:type="paragraph" w:styleId="TOC2">
    <w:name w:val="toc 2"/>
    <w:basedOn w:val="Normal"/>
    <w:next w:val="Normal"/>
    <w:autoRedefine/>
    <w:uiPriority w:val="39"/>
    <w:unhideWhenUsed/>
    <w:qFormat/>
    <w:rsid w:val="00377F20"/>
    <w:pPr>
      <w:spacing w:after="100" w:line="240" w:lineRule="auto"/>
    </w:pPr>
    <w:rPr>
      <w:rFonts w:ascii="Calibri" w:eastAsia="PMingLiU" w:hAnsi="Calibri" w:cs="Arial"/>
      <w:sz w:val="28"/>
      <w:szCs w:val="28"/>
      <w:lang w:eastAsia="ja-JP" w:bidi="en-US"/>
    </w:rPr>
  </w:style>
  <w:style w:type="table" w:styleId="TableGrid">
    <w:name w:val="Table Grid"/>
    <w:basedOn w:val="TableNormal"/>
    <w:uiPriority w:val="59"/>
    <w:rsid w:val="00377F2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7F20"/>
    <w:pPr>
      <w:spacing w:after="0" w:line="240" w:lineRule="auto"/>
    </w:pPr>
    <w:rPr>
      <w:rFonts w:ascii="Tahoma" w:eastAsia="PMingLiU" w:hAnsi="Tahoma" w:cs="Tahoma"/>
      <w:sz w:val="16"/>
      <w:szCs w:val="16"/>
      <w:lang w:eastAsia="en-US" w:bidi="en-US"/>
    </w:rPr>
  </w:style>
  <w:style w:type="character" w:customStyle="1" w:styleId="BalloonTextChar">
    <w:name w:val="Balloon Text Char"/>
    <w:basedOn w:val="DefaultParagraphFont"/>
    <w:link w:val="BalloonText"/>
    <w:uiPriority w:val="99"/>
    <w:semiHidden/>
    <w:rsid w:val="00377F20"/>
    <w:rPr>
      <w:rFonts w:ascii="Tahoma" w:eastAsia="PMingLiU" w:hAnsi="Tahoma" w:cs="Tahoma"/>
      <w:sz w:val="16"/>
      <w:szCs w:val="16"/>
      <w:lang w:eastAsia="en-US" w:bidi="en-US"/>
    </w:rPr>
  </w:style>
  <w:style w:type="paragraph" w:styleId="Header">
    <w:name w:val="header"/>
    <w:basedOn w:val="Normal"/>
    <w:link w:val="HeaderChar"/>
    <w:uiPriority w:val="99"/>
    <w:unhideWhenUsed/>
    <w:rsid w:val="00377F20"/>
    <w:pPr>
      <w:tabs>
        <w:tab w:val="center" w:pos="4680"/>
        <w:tab w:val="right" w:pos="9360"/>
      </w:tabs>
      <w:spacing w:after="0" w:line="240" w:lineRule="auto"/>
    </w:pPr>
    <w:rPr>
      <w:rFonts w:ascii="Calibri" w:eastAsia="PMingLiU" w:hAnsi="Calibri" w:cs="Arial"/>
      <w:lang w:eastAsia="en-US" w:bidi="en-US"/>
    </w:rPr>
  </w:style>
  <w:style w:type="character" w:customStyle="1" w:styleId="HeaderChar">
    <w:name w:val="Header Char"/>
    <w:basedOn w:val="DefaultParagraphFont"/>
    <w:link w:val="Header"/>
    <w:uiPriority w:val="99"/>
    <w:rsid w:val="00377F20"/>
    <w:rPr>
      <w:rFonts w:ascii="Calibri" w:eastAsia="PMingLiU" w:hAnsi="Calibri" w:cs="Arial"/>
      <w:lang w:eastAsia="en-US" w:bidi="en-US"/>
    </w:rPr>
  </w:style>
  <w:style w:type="paragraph" w:styleId="Footer">
    <w:name w:val="footer"/>
    <w:basedOn w:val="Normal"/>
    <w:link w:val="FooterChar"/>
    <w:uiPriority w:val="99"/>
    <w:unhideWhenUsed/>
    <w:rsid w:val="00377F20"/>
    <w:pPr>
      <w:tabs>
        <w:tab w:val="center" w:pos="4680"/>
        <w:tab w:val="right" w:pos="9360"/>
      </w:tabs>
      <w:spacing w:after="0" w:line="240" w:lineRule="auto"/>
    </w:pPr>
    <w:rPr>
      <w:rFonts w:ascii="Calibri" w:eastAsia="PMingLiU" w:hAnsi="Calibri" w:cs="Arial"/>
      <w:lang w:eastAsia="en-US" w:bidi="en-US"/>
    </w:rPr>
  </w:style>
  <w:style w:type="character" w:customStyle="1" w:styleId="FooterChar">
    <w:name w:val="Footer Char"/>
    <w:basedOn w:val="DefaultParagraphFont"/>
    <w:link w:val="Footer"/>
    <w:uiPriority w:val="99"/>
    <w:rsid w:val="00377F20"/>
    <w:rPr>
      <w:rFonts w:ascii="Calibri" w:eastAsia="PMingLiU" w:hAnsi="Calibri" w:cs="Arial"/>
      <w:lang w:eastAsia="en-US" w:bidi="en-US"/>
    </w:rPr>
  </w:style>
  <w:style w:type="character" w:styleId="Hyperlink">
    <w:name w:val="Hyperlink"/>
    <w:basedOn w:val="DefaultParagraphFont"/>
    <w:uiPriority w:val="99"/>
    <w:unhideWhenUsed/>
    <w:rsid w:val="00377F20"/>
    <w:rPr>
      <w:color w:val="0000FF" w:themeColor="hyperlink"/>
      <w:u w:val="single"/>
    </w:rPr>
  </w:style>
  <w:style w:type="paragraph" w:styleId="FootnoteText">
    <w:name w:val="footnote text"/>
    <w:basedOn w:val="Normal"/>
    <w:link w:val="FootnoteTextChar"/>
    <w:unhideWhenUsed/>
    <w:rsid w:val="00377F20"/>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rsid w:val="00377F20"/>
    <w:rPr>
      <w:rFonts w:eastAsiaTheme="minorHAnsi"/>
      <w:sz w:val="20"/>
      <w:szCs w:val="20"/>
      <w:lang w:eastAsia="en-US"/>
    </w:rPr>
  </w:style>
  <w:style w:type="character" w:styleId="FootnoteReference">
    <w:name w:val="footnote reference"/>
    <w:basedOn w:val="DefaultParagraphFont"/>
    <w:unhideWhenUsed/>
    <w:rsid w:val="00377F20"/>
    <w:rPr>
      <w:vertAlign w:val="superscript"/>
    </w:rPr>
  </w:style>
  <w:style w:type="paragraph" w:styleId="ListParagraph">
    <w:name w:val="List Paragraph"/>
    <w:basedOn w:val="Normal"/>
    <w:uiPriority w:val="34"/>
    <w:qFormat/>
    <w:rsid w:val="00377F20"/>
    <w:pPr>
      <w:ind w:left="720"/>
      <w:contextualSpacing/>
    </w:pPr>
    <w:rPr>
      <w:rFonts w:ascii="Calibri" w:eastAsia="PMingLiU" w:hAnsi="Calibri" w:cs="Arial"/>
      <w:lang w:eastAsia="en-US" w:bidi="en-US"/>
    </w:rPr>
  </w:style>
  <w:style w:type="table" w:customStyle="1" w:styleId="TableGrid1">
    <w:name w:val="Table Grid1"/>
    <w:basedOn w:val="TableNormal"/>
    <w:next w:val="TableGrid"/>
    <w:uiPriority w:val="59"/>
    <w:rsid w:val="00377F2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77F2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77F20"/>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qFormat/>
    <w:rsid w:val="00377F20"/>
    <w:rPr>
      <w:b/>
      <w:bCs/>
    </w:rPr>
  </w:style>
  <w:style w:type="table" w:customStyle="1" w:styleId="TableGrid3">
    <w:name w:val="Table Grid3"/>
    <w:basedOn w:val="TableNormal"/>
    <w:next w:val="TableGrid"/>
    <w:uiPriority w:val="59"/>
    <w:rsid w:val="00377F2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77F20"/>
    <w:pPr>
      <w:spacing w:after="0" w:line="240" w:lineRule="auto"/>
    </w:pPr>
    <w:rPr>
      <w:rFonts w:eastAsiaTheme="minorHAnsi"/>
      <w:lang w:eastAsia="en-US"/>
    </w:rPr>
  </w:style>
  <w:style w:type="numbering" w:customStyle="1" w:styleId="NoList11">
    <w:name w:val="No List11"/>
    <w:next w:val="NoList"/>
    <w:uiPriority w:val="99"/>
    <w:semiHidden/>
    <w:unhideWhenUsed/>
    <w:rsid w:val="00377F20"/>
  </w:style>
  <w:style w:type="paragraph" w:styleId="PlainText">
    <w:name w:val="Plain Text"/>
    <w:basedOn w:val="Normal"/>
    <w:link w:val="PlainTextChar"/>
    <w:uiPriority w:val="99"/>
    <w:unhideWhenUsed/>
    <w:rsid w:val="00377F20"/>
    <w:pPr>
      <w:spacing w:after="0" w:line="240" w:lineRule="auto"/>
    </w:pPr>
    <w:rPr>
      <w:rFonts w:ascii="Consolas" w:eastAsia="Times New Roman" w:hAnsi="Consolas" w:cs="Times New Roman"/>
      <w:sz w:val="21"/>
      <w:szCs w:val="21"/>
      <w:lang w:eastAsia="en-US"/>
    </w:rPr>
  </w:style>
  <w:style w:type="character" w:customStyle="1" w:styleId="PlainTextChar">
    <w:name w:val="Plain Text Char"/>
    <w:basedOn w:val="DefaultParagraphFont"/>
    <w:link w:val="PlainText"/>
    <w:uiPriority w:val="99"/>
    <w:rsid w:val="00377F20"/>
    <w:rPr>
      <w:rFonts w:ascii="Consolas" w:eastAsia="Times New Roman" w:hAnsi="Consolas" w:cs="Times New Roman"/>
      <w:sz w:val="21"/>
      <w:szCs w:val="21"/>
      <w:lang w:eastAsia="en-US"/>
    </w:rPr>
  </w:style>
  <w:style w:type="character" w:styleId="Emphasis">
    <w:name w:val="Emphasis"/>
    <w:uiPriority w:val="20"/>
    <w:qFormat/>
    <w:rsid w:val="00377F20"/>
    <w:rPr>
      <w:i/>
      <w:iCs/>
    </w:rPr>
  </w:style>
  <w:style w:type="paragraph" w:customStyle="1" w:styleId="default">
    <w:name w:val="default"/>
    <w:basedOn w:val="Normal"/>
    <w:uiPriority w:val="99"/>
    <w:rsid w:val="00377F20"/>
    <w:pPr>
      <w:spacing w:after="0" w:line="240" w:lineRule="auto"/>
    </w:pPr>
    <w:rPr>
      <w:rFonts w:ascii="Times New Roman" w:eastAsia="Times New Roman" w:hAnsi="Times New Roman" w:cs="Times New Roman"/>
      <w:color w:val="000000"/>
      <w:sz w:val="24"/>
      <w:szCs w:val="24"/>
      <w:lang w:eastAsia="en-US"/>
    </w:rPr>
  </w:style>
  <w:style w:type="character" w:customStyle="1" w:styleId="apple-style-span">
    <w:name w:val="apple-style-span"/>
    <w:basedOn w:val="DefaultParagraphFont"/>
    <w:rsid w:val="00377F20"/>
  </w:style>
  <w:style w:type="character" w:customStyle="1" w:styleId="apple-converted-space">
    <w:name w:val="apple-converted-space"/>
    <w:basedOn w:val="DefaultParagraphFont"/>
    <w:rsid w:val="00377F20"/>
  </w:style>
  <w:style w:type="paragraph" w:customStyle="1" w:styleId="Default0">
    <w:name w:val="Default"/>
    <w:rsid w:val="00377F20"/>
    <w:pPr>
      <w:autoSpaceDE w:val="0"/>
      <w:autoSpaceDN w:val="0"/>
      <w:adjustRightInd w:val="0"/>
      <w:spacing w:after="0" w:line="240" w:lineRule="auto"/>
    </w:pPr>
    <w:rPr>
      <w:rFonts w:ascii="Arial" w:eastAsia="Times New Roman" w:hAnsi="Arial" w:cs="Arial"/>
      <w:color w:val="000000"/>
      <w:sz w:val="24"/>
      <w:szCs w:val="24"/>
      <w:lang w:eastAsia="en-US"/>
    </w:rPr>
  </w:style>
  <w:style w:type="paragraph" w:customStyle="1" w:styleId="BodyText1">
    <w:name w:val="Body Text1"/>
    <w:link w:val="BodytextChar"/>
    <w:rsid w:val="00377F20"/>
    <w:pPr>
      <w:widowControl w:val="0"/>
      <w:autoSpaceDE w:val="0"/>
      <w:autoSpaceDN w:val="0"/>
      <w:adjustRightInd w:val="0"/>
      <w:spacing w:after="0" w:line="250" w:lineRule="atLeast"/>
    </w:pPr>
    <w:rPr>
      <w:rFonts w:ascii="Optima" w:eastAsia="Times New Roman" w:hAnsi="Optima" w:cs="Times New Roman"/>
      <w:color w:val="000000"/>
      <w:sz w:val="21"/>
      <w:szCs w:val="21"/>
      <w:lang w:eastAsia="en-US"/>
    </w:rPr>
  </w:style>
  <w:style w:type="character" w:customStyle="1" w:styleId="BodytextChar">
    <w:name w:val="Body text Char"/>
    <w:link w:val="BodyText1"/>
    <w:locked/>
    <w:rsid w:val="00377F20"/>
    <w:rPr>
      <w:rFonts w:ascii="Optima" w:eastAsia="Times New Roman" w:hAnsi="Optima" w:cs="Times New Roman"/>
      <w:color w:val="000000"/>
      <w:sz w:val="21"/>
      <w:szCs w:val="21"/>
      <w:lang w:eastAsia="en-US"/>
    </w:rPr>
  </w:style>
  <w:style w:type="character" w:styleId="FollowedHyperlink">
    <w:name w:val="FollowedHyperlink"/>
    <w:uiPriority w:val="99"/>
    <w:semiHidden/>
    <w:unhideWhenUsed/>
    <w:rsid w:val="00377F20"/>
    <w:rPr>
      <w:color w:val="800080"/>
      <w:u w:val="single"/>
    </w:rPr>
  </w:style>
  <w:style w:type="character" w:styleId="CommentReference">
    <w:name w:val="annotation reference"/>
    <w:uiPriority w:val="99"/>
    <w:semiHidden/>
    <w:unhideWhenUsed/>
    <w:rsid w:val="00377F20"/>
    <w:rPr>
      <w:sz w:val="16"/>
      <w:szCs w:val="16"/>
    </w:rPr>
  </w:style>
  <w:style w:type="paragraph" w:styleId="CommentText">
    <w:name w:val="annotation text"/>
    <w:basedOn w:val="Normal"/>
    <w:link w:val="CommentTextChar"/>
    <w:uiPriority w:val="99"/>
    <w:semiHidden/>
    <w:unhideWhenUsed/>
    <w:rsid w:val="00377F20"/>
    <w:pPr>
      <w:spacing w:line="240" w:lineRule="auto"/>
    </w:pPr>
    <w:rPr>
      <w:rFonts w:ascii="Calibri" w:eastAsia="Times New Roman" w:hAnsi="Calibri" w:cs="Times New Roman"/>
      <w:sz w:val="20"/>
      <w:szCs w:val="20"/>
      <w:lang w:eastAsia="en-US"/>
    </w:rPr>
  </w:style>
  <w:style w:type="character" w:customStyle="1" w:styleId="CommentTextChar">
    <w:name w:val="Comment Text Char"/>
    <w:basedOn w:val="DefaultParagraphFont"/>
    <w:link w:val="CommentText"/>
    <w:uiPriority w:val="99"/>
    <w:semiHidden/>
    <w:rsid w:val="00377F20"/>
    <w:rPr>
      <w:rFonts w:ascii="Calibri" w:eastAsia="Times New Roman"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77F20"/>
    <w:rPr>
      <w:b/>
      <w:bCs/>
    </w:rPr>
  </w:style>
  <w:style w:type="character" w:customStyle="1" w:styleId="CommentSubjectChar">
    <w:name w:val="Comment Subject Char"/>
    <w:basedOn w:val="CommentTextChar"/>
    <w:link w:val="CommentSubject"/>
    <w:uiPriority w:val="99"/>
    <w:semiHidden/>
    <w:rsid w:val="00377F20"/>
    <w:rPr>
      <w:rFonts w:ascii="Calibri" w:eastAsia="Times New Roman" w:hAnsi="Calibri" w:cs="Times New Roman"/>
      <w:b/>
      <w:bCs/>
      <w:sz w:val="20"/>
      <w:szCs w:val="20"/>
      <w:lang w:eastAsia="en-US"/>
    </w:rPr>
  </w:style>
  <w:style w:type="table" w:customStyle="1" w:styleId="TableGrid4">
    <w:name w:val="Table Grid4"/>
    <w:basedOn w:val="TableNormal"/>
    <w:next w:val="TableGrid"/>
    <w:uiPriority w:val="59"/>
    <w:rsid w:val="00377F2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e.state.or.us/wma/gradelevel/hs/transition/2012/ageapprotransassessment.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379</Words>
  <Characters>2165</Characters>
  <Application>Microsoft Office Word</Application>
  <DocSecurity>0</DocSecurity>
  <Lines>18</Lines>
  <Paragraphs>5</Paragraphs>
  <ScaleCrop>false</ScaleCrop>
  <Company>Western Oregon University</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UCS</cp:lastModifiedBy>
  <cp:revision>1</cp:revision>
  <dcterms:created xsi:type="dcterms:W3CDTF">2013-10-21T18:54:00Z</dcterms:created>
  <dcterms:modified xsi:type="dcterms:W3CDTF">2013-10-21T18:57:00Z</dcterms:modified>
</cp:coreProperties>
</file>